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21DF" w:rsidRPr="00CF501E" w:rsidRDefault="000B21DF" w:rsidP="0075380D">
      <w:pPr>
        <w:spacing w:line="240" w:lineRule="auto"/>
        <w:jc w:val="center"/>
        <w:rPr>
          <w:rFonts w:asciiTheme="majorHAnsi" w:hAnsiTheme="majorHAnsi"/>
        </w:rPr>
      </w:pPr>
    </w:p>
    <w:p w:rsidR="00616628" w:rsidRPr="00CF501E" w:rsidRDefault="006B276D" w:rsidP="0075380D">
      <w:pPr>
        <w:spacing w:line="240" w:lineRule="auto"/>
        <w:jc w:val="center"/>
        <w:rPr>
          <w:rFonts w:asciiTheme="majorHAnsi" w:hAnsiTheme="majorHAnsi"/>
        </w:rPr>
      </w:pPr>
      <w:r>
        <w:rPr>
          <w:rFonts w:asciiTheme="majorHAnsi" w:hAnsiTheme="majorHAnsi"/>
          <w:noProof/>
          <w:lang w:eastAsia="cs-CZ" w:bidi="ar-SA"/>
        </w:rPr>
        <w:drawing>
          <wp:inline distT="0" distB="0" distL="0" distR="0">
            <wp:extent cx="1962150" cy="2324100"/>
            <wp:effectExtent l="19050" t="0" r="0" b="0"/>
            <wp:docPr id="15" name="Obrázek 14" descr="Ostr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trov.png"/>
                    <pic:cNvPicPr/>
                  </pic:nvPicPr>
                  <pic:blipFill>
                    <a:blip r:embed="rId8"/>
                    <a:stretch>
                      <a:fillRect/>
                    </a:stretch>
                  </pic:blipFill>
                  <pic:spPr>
                    <a:xfrm>
                      <a:off x="0" y="0"/>
                      <a:ext cx="1962150" cy="2324100"/>
                    </a:xfrm>
                    <a:prstGeom prst="rect">
                      <a:avLst/>
                    </a:prstGeom>
                  </pic:spPr>
                </pic:pic>
              </a:graphicData>
            </a:graphic>
          </wp:inline>
        </w:drawing>
      </w:r>
    </w:p>
    <w:p w:rsidR="00F61255" w:rsidRPr="00317759" w:rsidRDefault="000C0650" w:rsidP="00D36A0A">
      <w:pPr>
        <w:spacing w:before="0" w:after="0" w:line="240" w:lineRule="auto"/>
        <w:jc w:val="center"/>
        <w:rPr>
          <w:b/>
          <w:color w:val="372C74"/>
          <w:sz w:val="52"/>
          <w:szCs w:val="52"/>
        </w:rPr>
      </w:pPr>
      <w:r>
        <w:rPr>
          <w:b/>
          <w:color w:val="372C74"/>
          <w:sz w:val="52"/>
          <w:szCs w:val="52"/>
        </w:rPr>
        <w:t xml:space="preserve"> </w:t>
      </w:r>
    </w:p>
    <w:p w:rsidR="00D36A0A" w:rsidRDefault="00D36A0A" w:rsidP="0075380D">
      <w:pPr>
        <w:spacing w:before="0" w:after="0" w:line="240" w:lineRule="auto"/>
        <w:jc w:val="center"/>
        <w:rPr>
          <w:color w:val="372C74"/>
          <w:sz w:val="52"/>
          <w:szCs w:val="52"/>
        </w:rPr>
      </w:pPr>
    </w:p>
    <w:p w:rsidR="00CD028C" w:rsidRDefault="006B276D" w:rsidP="0075380D">
      <w:pPr>
        <w:spacing w:before="0" w:after="0" w:line="240" w:lineRule="auto"/>
        <w:jc w:val="center"/>
        <w:rPr>
          <w:color w:val="372C74"/>
          <w:sz w:val="52"/>
          <w:szCs w:val="52"/>
        </w:rPr>
      </w:pPr>
      <w:r>
        <w:rPr>
          <w:color w:val="372C74"/>
          <w:sz w:val="52"/>
          <w:szCs w:val="52"/>
        </w:rPr>
        <w:t>Strategický plán</w:t>
      </w:r>
      <w:r w:rsidR="00616628">
        <w:rPr>
          <w:color w:val="372C74"/>
          <w:sz w:val="52"/>
          <w:szCs w:val="52"/>
        </w:rPr>
        <w:t xml:space="preserve"> rozvoje</w:t>
      </w:r>
      <w:r w:rsidR="00CD028C">
        <w:rPr>
          <w:color w:val="372C74"/>
          <w:sz w:val="52"/>
          <w:szCs w:val="52"/>
        </w:rPr>
        <w:t xml:space="preserve"> města </w:t>
      </w:r>
      <w:r>
        <w:rPr>
          <w:color w:val="372C74"/>
          <w:sz w:val="52"/>
          <w:szCs w:val="52"/>
        </w:rPr>
        <w:t>Ostrov</w:t>
      </w:r>
    </w:p>
    <w:p w:rsidR="003E4EE3" w:rsidRDefault="000311EF" w:rsidP="00AD5BB3">
      <w:pPr>
        <w:pStyle w:val="Nzev"/>
        <w:jc w:val="center"/>
        <w:rPr>
          <w:spacing w:val="4"/>
          <w:kern w:val="0"/>
          <w:szCs w:val="36"/>
        </w:rPr>
      </w:pPr>
      <w:r>
        <w:rPr>
          <w:spacing w:val="4"/>
          <w:kern w:val="0"/>
          <w:szCs w:val="36"/>
        </w:rPr>
        <w:t xml:space="preserve">schválen Zastupitelstvem města dne </w:t>
      </w:r>
      <w:r w:rsidR="00AD5BB3">
        <w:rPr>
          <w:spacing w:val="4"/>
          <w:kern w:val="0"/>
          <w:szCs w:val="36"/>
        </w:rPr>
        <w:t xml:space="preserve">12. září 2018 </w:t>
      </w:r>
      <w:r w:rsidR="00AD5BB3">
        <w:rPr>
          <w:spacing w:val="4"/>
          <w:kern w:val="0"/>
          <w:szCs w:val="36"/>
        </w:rPr>
        <w:br/>
      </w:r>
      <w:r>
        <w:rPr>
          <w:spacing w:val="4"/>
          <w:kern w:val="0"/>
          <w:szCs w:val="36"/>
        </w:rPr>
        <w:t xml:space="preserve">usnesením č. </w:t>
      </w:r>
      <w:r w:rsidR="00AD5BB3">
        <w:rPr>
          <w:spacing w:val="4"/>
          <w:kern w:val="0"/>
          <w:szCs w:val="36"/>
        </w:rPr>
        <w:t>114/18</w:t>
      </w:r>
    </w:p>
    <w:p w:rsidR="00AD5BB3" w:rsidRPr="00AD5BB3" w:rsidRDefault="00AD5BB3" w:rsidP="00AD5BB3"/>
    <w:p w:rsidR="000B21DF" w:rsidRPr="00CF501E" w:rsidRDefault="000B21DF" w:rsidP="0075380D">
      <w:pPr>
        <w:spacing w:before="0" w:after="0" w:line="240" w:lineRule="auto"/>
        <w:ind w:firstLine="360"/>
        <w:jc w:val="center"/>
        <w:rPr>
          <w:rFonts w:asciiTheme="majorHAnsi" w:eastAsia="MS Gothic" w:hAnsiTheme="majorHAnsi"/>
          <w:b/>
          <w:bCs/>
          <w:color w:val="282156"/>
          <w:sz w:val="28"/>
          <w:szCs w:val="28"/>
        </w:rPr>
      </w:pPr>
      <w:bookmarkStart w:id="0" w:name="_Toc332092799"/>
      <w:bookmarkStart w:id="1" w:name="_Toc332099736"/>
      <w:bookmarkStart w:id="2" w:name="_Toc332101437"/>
      <w:bookmarkStart w:id="3" w:name="_Toc332104203"/>
      <w:bookmarkStart w:id="4" w:name="_Toc332109642"/>
      <w:bookmarkStart w:id="5" w:name="_Toc332115042"/>
      <w:bookmarkStart w:id="6" w:name="_GoBack"/>
      <w:bookmarkEnd w:id="6"/>
    </w:p>
    <w:p w:rsidR="00FD36A0" w:rsidRDefault="000C0650" w:rsidP="000C0650">
      <w:pPr>
        <w:spacing w:before="0" w:after="0" w:line="240" w:lineRule="auto"/>
        <w:ind w:firstLine="360"/>
        <w:jc w:val="center"/>
        <w:rPr>
          <w:rFonts w:asciiTheme="majorHAnsi" w:eastAsia="MS Gothic" w:hAnsiTheme="majorHAnsi"/>
          <w:b/>
          <w:bCs/>
          <w:color w:val="282156"/>
          <w:sz w:val="40"/>
          <w:szCs w:val="40"/>
        </w:rPr>
      </w:pPr>
      <w:r>
        <w:rPr>
          <w:rFonts w:asciiTheme="majorHAnsi" w:eastAsia="MS Gothic" w:hAnsiTheme="majorHAnsi"/>
          <w:b/>
          <w:bCs/>
          <w:color w:val="282156"/>
          <w:sz w:val="40"/>
          <w:szCs w:val="40"/>
        </w:rPr>
        <w:t xml:space="preserve">A. </w:t>
      </w:r>
      <w:r w:rsidRPr="0087018F">
        <w:rPr>
          <w:rFonts w:asciiTheme="majorHAnsi" w:eastAsia="MS Gothic" w:hAnsiTheme="majorHAnsi"/>
          <w:b/>
          <w:bCs/>
          <w:color w:val="282156"/>
          <w:sz w:val="40"/>
          <w:szCs w:val="40"/>
        </w:rPr>
        <w:t>Analytická část</w:t>
      </w:r>
      <w:r>
        <w:rPr>
          <w:rFonts w:asciiTheme="majorHAnsi" w:eastAsia="MS Gothic" w:hAnsiTheme="majorHAnsi"/>
          <w:b/>
          <w:bCs/>
          <w:color w:val="282156"/>
          <w:sz w:val="40"/>
          <w:szCs w:val="40"/>
        </w:rPr>
        <w:t xml:space="preserve"> </w:t>
      </w:r>
    </w:p>
    <w:p w:rsidR="000C0650" w:rsidRPr="00FD36A0" w:rsidRDefault="000C0650" w:rsidP="00FD36A0">
      <w:pPr>
        <w:spacing w:before="120" w:after="0" w:line="240" w:lineRule="auto"/>
        <w:ind w:firstLine="357"/>
        <w:jc w:val="center"/>
        <w:rPr>
          <w:rFonts w:asciiTheme="majorHAnsi" w:eastAsia="MS Gothic" w:hAnsiTheme="majorHAnsi"/>
          <w:b/>
          <w:bCs/>
          <w:color w:val="282156"/>
          <w:sz w:val="32"/>
          <w:szCs w:val="32"/>
        </w:rPr>
      </w:pPr>
      <w:r w:rsidRPr="00FD36A0">
        <w:rPr>
          <w:rFonts w:asciiTheme="majorHAnsi" w:eastAsia="MS Gothic" w:hAnsiTheme="majorHAnsi"/>
          <w:b/>
          <w:bCs/>
          <w:color w:val="282156"/>
          <w:sz w:val="32"/>
          <w:szCs w:val="32"/>
        </w:rPr>
        <w:t>Příloha A1 - Charakteristika města</w:t>
      </w:r>
    </w:p>
    <w:p w:rsidR="004F2374" w:rsidRDefault="004F2374" w:rsidP="0075380D">
      <w:pPr>
        <w:spacing w:before="0" w:after="0" w:line="240" w:lineRule="auto"/>
        <w:ind w:firstLine="360"/>
        <w:jc w:val="center"/>
        <w:rPr>
          <w:rFonts w:asciiTheme="majorHAnsi" w:eastAsia="MS Gothic" w:hAnsiTheme="majorHAnsi"/>
          <w:b/>
          <w:bCs/>
          <w:color w:val="282156"/>
          <w:sz w:val="28"/>
          <w:szCs w:val="28"/>
        </w:rPr>
      </w:pPr>
    </w:p>
    <w:p w:rsidR="004F2374" w:rsidRDefault="004F2374" w:rsidP="0075380D">
      <w:pPr>
        <w:spacing w:before="0" w:after="0" w:line="240" w:lineRule="auto"/>
        <w:ind w:firstLine="360"/>
        <w:jc w:val="center"/>
        <w:rPr>
          <w:rFonts w:asciiTheme="majorHAnsi" w:eastAsia="MS Gothic" w:hAnsiTheme="majorHAnsi"/>
          <w:b/>
          <w:bCs/>
          <w:color w:val="282156"/>
          <w:sz w:val="28"/>
          <w:szCs w:val="28"/>
        </w:rPr>
      </w:pPr>
    </w:p>
    <w:p w:rsidR="004F2374" w:rsidRDefault="004F2374" w:rsidP="0075380D">
      <w:pPr>
        <w:spacing w:before="0" w:after="0" w:line="240" w:lineRule="auto"/>
        <w:ind w:firstLine="360"/>
        <w:jc w:val="center"/>
        <w:rPr>
          <w:rFonts w:asciiTheme="majorHAnsi" w:eastAsia="MS Gothic" w:hAnsiTheme="majorHAnsi"/>
          <w:b/>
          <w:bCs/>
          <w:color w:val="282156"/>
          <w:sz w:val="28"/>
          <w:szCs w:val="28"/>
        </w:rPr>
      </w:pPr>
    </w:p>
    <w:p w:rsidR="004F2374" w:rsidRDefault="004F2374" w:rsidP="0075380D">
      <w:pPr>
        <w:spacing w:before="0" w:after="0" w:line="240" w:lineRule="auto"/>
        <w:ind w:firstLine="360"/>
        <w:jc w:val="center"/>
        <w:rPr>
          <w:rFonts w:asciiTheme="majorHAnsi" w:eastAsia="MS Gothic" w:hAnsiTheme="majorHAnsi"/>
          <w:b/>
          <w:bCs/>
          <w:color w:val="282156"/>
          <w:sz w:val="28"/>
          <w:szCs w:val="28"/>
        </w:rPr>
      </w:pPr>
    </w:p>
    <w:p w:rsidR="004F2374" w:rsidRDefault="004F2374" w:rsidP="0075380D">
      <w:pPr>
        <w:spacing w:before="0" w:after="0" w:line="240" w:lineRule="auto"/>
        <w:ind w:firstLine="360"/>
        <w:jc w:val="center"/>
        <w:rPr>
          <w:rFonts w:asciiTheme="majorHAnsi" w:eastAsia="MS Gothic" w:hAnsiTheme="majorHAnsi"/>
          <w:b/>
          <w:bCs/>
          <w:color w:val="282156"/>
          <w:sz w:val="28"/>
          <w:szCs w:val="28"/>
        </w:rPr>
      </w:pPr>
    </w:p>
    <w:p w:rsidR="004F2374" w:rsidRDefault="004F2374" w:rsidP="0075380D">
      <w:pPr>
        <w:spacing w:before="0" w:after="0" w:line="240" w:lineRule="auto"/>
        <w:ind w:firstLine="360"/>
        <w:jc w:val="center"/>
        <w:rPr>
          <w:rFonts w:asciiTheme="majorHAnsi" w:eastAsia="MS Gothic" w:hAnsiTheme="majorHAnsi"/>
          <w:b/>
          <w:bCs/>
          <w:color w:val="282156"/>
          <w:sz w:val="28"/>
          <w:szCs w:val="28"/>
        </w:rPr>
      </w:pPr>
    </w:p>
    <w:p w:rsidR="00282DE9" w:rsidRPr="00CF501E" w:rsidRDefault="00282DE9" w:rsidP="0075380D">
      <w:pPr>
        <w:spacing w:before="0" w:after="0" w:line="240" w:lineRule="auto"/>
        <w:ind w:firstLine="360"/>
        <w:jc w:val="center"/>
        <w:rPr>
          <w:rFonts w:asciiTheme="majorHAnsi" w:eastAsia="MS Gothic" w:hAnsiTheme="majorHAnsi"/>
          <w:b/>
          <w:bCs/>
          <w:color w:val="282156"/>
          <w:sz w:val="28"/>
          <w:szCs w:val="28"/>
        </w:rPr>
      </w:pPr>
    </w:p>
    <w:p w:rsidR="00282DE9" w:rsidRPr="00CF501E" w:rsidRDefault="00282DE9" w:rsidP="0075380D">
      <w:pPr>
        <w:spacing w:before="0" w:after="0" w:line="240" w:lineRule="auto"/>
        <w:ind w:firstLine="360"/>
        <w:jc w:val="center"/>
        <w:rPr>
          <w:rFonts w:asciiTheme="majorHAnsi" w:eastAsia="MS Gothic" w:hAnsiTheme="majorHAnsi"/>
          <w:b/>
          <w:bCs/>
          <w:color w:val="282156"/>
          <w:sz w:val="28"/>
          <w:szCs w:val="28"/>
        </w:rPr>
      </w:pPr>
    </w:p>
    <w:p w:rsidR="00282DE9" w:rsidRPr="00CF501E" w:rsidRDefault="00282DE9" w:rsidP="0075380D">
      <w:pPr>
        <w:spacing w:before="0" w:after="0" w:line="240" w:lineRule="auto"/>
        <w:ind w:firstLine="360"/>
        <w:jc w:val="center"/>
        <w:rPr>
          <w:rFonts w:asciiTheme="majorHAnsi" w:eastAsia="MS Gothic" w:hAnsiTheme="majorHAnsi"/>
          <w:b/>
          <w:bCs/>
          <w:color w:val="282156"/>
          <w:sz w:val="28"/>
          <w:szCs w:val="28"/>
        </w:rPr>
      </w:pPr>
    </w:p>
    <w:p w:rsidR="00CE25A1" w:rsidRPr="00CF501E" w:rsidRDefault="00CE25A1" w:rsidP="0075380D">
      <w:pPr>
        <w:spacing w:before="0" w:after="0" w:line="240" w:lineRule="auto"/>
        <w:ind w:firstLine="360"/>
        <w:jc w:val="center"/>
        <w:rPr>
          <w:rFonts w:asciiTheme="majorHAnsi" w:eastAsia="MS Gothic" w:hAnsiTheme="majorHAnsi"/>
          <w:b/>
          <w:bCs/>
          <w:color w:val="282156"/>
          <w:sz w:val="28"/>
          <w:szCs w:val="28"/>
        </w:rPr>
      </w:pPr>
    </w:p>
    <w:p w:rsidR="00CE25A1" w:rsidRPr="00CF501E" w:rsidRDefault="00CE25A1" w:rsidP="0075380D">
      <w:pPr>
        <w:spacing w:before="0" w:after="0" w:line="240" w:lineRule="auto"/>
        <w:ind w:firstLine="360"/>
        <w:jc w:val="center"/>
        <w:rPr>
          <w:rFonts w:asciiTheme="majorHAnsi" w:eastAsia="MS Gothic" w:hAnsiTheme="majorHAnsi"/>
          <w:b/>
          <w:bCs/>
          <w:color w:val="282156"/>
          <w:sz w:val="28"/>
          <w:szCs w:val="28"/>
        </w:rPr>
      </w:pPr>
    </w:p>
    <w:p w:rsidR="00CE25A1" w:rsidRPr="00CF501E" w:rsidRDefault="00CE25A1" w:rsidP="0075380D">
      <w:pPr>
        <w:spacing w:before="0" w:after="0" w:line="240" w:lineRule="auto"/>
        <w:ind w:firstLine="360"/>
        <w:jc w:val="center"/>
        <w:rPr>
          <w:rFonts w:asciiTheme="majorHAnsi" w:eastAsia="MS Gothic" w:hAnsiTheme="majorHAnsi"/>
          <w:b/>
          <w:bCs/>
          <w:color w:val="282156"/>
          <w:sz w:val="28"/>
          <w:szCs w:val="28"/>
        </w:rPr>
      </w:pPr>
    </w:p>
    <w:p w:rsidR="001A4149" w:rsidRPr="00CF501E" w:rsidRDefault="001A4149" w:rsidP="0075380D">
      <w:pPr>
        <w:spacing w:line="240" w:lineRule="auto"/>
        <w:jc w:val="left"/>
        <w:rPr>
          <w:rFonts w:asciiTheme="majorHAnsi" w:eastAsia="MS Gothic" w:hAnsiTheme="majorHAnsi"/>
          <w:b/>
          <w:bCs/>
          <w:color w:val="282156"/>
          <w:sz w:val="24"/>
          <w:szCs w:val="24"/>
        </w:rPr>
      </w:pPr>
      <w:r w:rsidRPr="00CF501E">
        <w:rPr>
          <w:rFonts w:asciiTheme="majorHAnsi" w:eastAsia="MS Gothic" w:hAnsiTheme="majorHAnsi"/>
          <w:b/>
          <w:bCs/>
          <w:color w:val="282156"/>
          <w:sz w:val="24"/>
          <w:szCs w:val="24"/>
        </w:rPr>
        <w:br w:type="page"/>
      </w:r>
    </w:p>
    <w:p w:rsidR="00AF1713" w:rsidRPr="00CF501E" w:rsidRDefault="00AF1713" w:rsidP="004345CB">
      <w:pPr>
        <w:pStyle w:val="Nadpis1"/>
        <w:spacing w:after="240" w:line="240" w:lineRule="auto"/>
        <w:ind w:left="357" w:hanging="357"/>
        <w:rPr>
          <w:rFonts w:asciiTheme="majorHAnsi" w:hAnsiTheme="majorHAnsi"/>
          <w:b w:val="0"/>
          <w:bCs w:val="0"/>
          <w:caps/>
        </w:rPr>
      </w:pPr>
      <w:bookmarkStart w:id="7" w:name="_Toc335999863"/>
      <w:bookmarkStart w:id="8" w:name="_Toc336001785"/>
      <w:bookmarkStart w:id="9" w:name="_Toc336265752"/>
      <w:bookmarkStart w:id="10" w:name="_Toc337152073"/>
      <w:bookmarkStart w:id="11" w:name="_Toc337455289"/>
      <w:bookmarkStart w:id="12" w:name="_Toc341267956"/>
      <w:bookmarkStart w:id="13" w:name="_Toc341451238"/>
      <w:bookmarkStart w:id="14" w:name="_Toc341968806"/>
      <w:bookmarkStart w:id="15" w:name="_Toc341971647"/>
      <w:bookmarkStart w:id="16" w:name="_Toc342053963"/>
      <w:bookmarkStart w:id="17" w:name="_Toc516058303"/>
      <w:r w:rsidRPr="00CF501E">
        <w:rPr>
          <w:rFonts w:asciiTheme="majorHAnsi" w:hAnsiTheme="majorHAnsi"/>
        </w:rPr>
        <w:lastRenderedPageBreak/>
        <w:t>O</w:t>
      </w:r>
      <w:bookmarkEnd w:id="0"/>
      <w:bookmarkEnd w:id="1"/>
      <w:bookmarkEnd w:id="2"/>
      <w:bookmarkEnd w:id="3"/>
      <w:bookmarkEnd w:id="4"/>
      <w:bookmarkEnd w:id="5"/>
      <w:bookmarkEnd w:id="7"/>
      <w:bookmarkEnd w:id="8"/>
      <w:bookmarkEnd w:id="9"/>
      <w:bookmarkEnd w:id="10"/>
      <w:bookmarkEnd w:id="11"/>
      <w:bookmarkEnd w:id="12"/>
      <w:r w:rsidR="00D74DBD" w:rsidRPr="00CF501E">
        <w:rPr>
          <w:rFonts w:asciiTheme="majorHAnsi" w:hAnsiTheme="majorHAnsi"/>
        </w:rPr>
        <w:t>bsah</w:t>
      </w:r>
      <w:bookmarkEnd w:id="13"/>
      <w:bookmarkEnd w:id="14"/>
      <w:bookmarkEnd w:id="15"/>
      <w:bookmarkEnd w:id="16"/>
      <w:bookmarkEnd w:id="17"/>
    </w:p>
    <w:bookmarkStart w:id="18" w:name="_Toc341451239"/>
    <w:p w:rsidR="008B1F18" w:rsidRDefault="005B55A2">
      <w:pPr>
        <w:pStyle w:val="Obsah1"/>
        <w:rPr>
          <w:rFonts w:asciiTheme="minorHAnsi" w:eastAsiaTheme="minorEastAsia" w:hAnsiTheme="minorHAnsi" w:cstheme="minorBidi"/>
          <w:b w:val="0"/>
          <w:bCs w:val="0"/>
          <w:caps w:val="0"/>
          <w:noProof/>
          <w:spacing w:val="0"/>
          <w:szCs w:val="22"/>
          <w:lang w:eastAsia="cs-CZ" w:bidi="ar-SA"/>
        </w:rPr>
      </w:pPr>
      <w:r>
        <w:rPr>
          <w:rFonts w:asciiTheme="majorHAnsi" w:hAnsiTheme="majorHAnsi"/>
          <w:b w:val="0"/>
          <w:bCs w:val="0"/>
          <w:caps w:val="0"/>
        </w:rPr>
        <w:fldChar w:fldCharType="begin"/>
      </w:r>
      <w:r w:rsidR="007B0DDF">
        <w:rPr>
          <w:rFonts w:asciiTheme="majorHAnsi" w:hAnsiTheme="majorHAnsi"/>
          <w:b w:val="0"/>
          <w:bCs w:val="0"/>
          <w:caps w:val="0"/>
        </w:rPr>
        <w:instrText xml:space="preserve"> TOC \o "1-4" </w:instrText>
      </w:r>
      <w:r>
        <w:rPr>
          <w:rFonts w:asciiTheme="majorHAnsi" w:hAnsiTheme="majorHAnsi"/>
          <w:b w:val="0"/>
          <w:bCs w:val="0"/>
          <w:caps w:val="0"/>
        </w:rPr>
        <w:fldChar w:fldCharType="separate"/>
      </w:r>
      <w:r w:rsidR="008B1F18" w:rsidRPr="00BE3FDE">
        <w:rPr>
          <w:rFonts w:asciiTheme="majorHAnsi" w:hAnsiTheme="majorHAnsi"/>
          <w:noProof/>
        </w:rPr>
        <w:t>Obsah</w:t>
      </w:r>
      <w:r w:rsidR="008B1F18">
        <w:rPr>
          <w:noProof/>
        </w:rPr>
        <w:tab/>
      </w:r>
      <w:r w:rsidR="008B1F18">
        <w:rPr>
          <w:noProof/>
        </w:rPr>
        <w:fldChar w:fldCharType="begin"/>
      </w:r>
      <w:r w:rsidR="008B1F18">
        <w:rPr>
          <w:noProof/>
        </w:rPr>
        <w:instrText xml:space="preserve"> PAGEREF _Toc516058303 \h </w:instrText>
      </w:r>
      <w:r w:rsidR="008B1F18">
        <w:rPr>
          <w:noProof/>
        </w:rPr>
      </w:r>
      <w:r w:rsidR="008B1F18">
        <w:rPr>
          <w:noProof/>
        </w:rPr>
        <w:fldChar w:fldCharType="separate"/>
      </w:r>
      <w:r w:rsidR="008B1F18">
        <w:rPr>
          <w:noProof/>
        </w:rPr>
        <w:t>3</w:t>
      </w:r>
      <w:r w:rsidR="008B1F18">
        <w:rPr>
          <w:noProof/>
        </w:rPr>
        <w:fldChar w:fldCharType="end"/>
      </w:r>
    </w:p>
    <w:p w:rsidR="008B1F18" w:rsidRDefault="008B1F18">
      <w:pPr>
        <w:pStyle w:val="Obsah1"/>
        <w:rPr>
          <w:rFonts w:asciiTheme="minorHAnsi" w:eastAsiaTheme="minorEastAsia" w:hAnsiTheme="minorHAnsi" w:cstheme="minorBidi"/>
          <w:b w:val="0"/>
          <w:bCs w:val="0"/>
          <w:caps w:val="0"/>
          <w:noProof/>
          <w:spacing w:val="0"/>
          <w:szCs w:val="22"/>
          <w:lang w:eastAsia="cs-CZ" w:bidi="ar-SA"/>
        </w:rPr>
      </w:pPr>
      <w:r>
        <w:rPr>
          <w:noProof/>
        </w:rPr>
        <w:t>P.1 Charakteristika města</w:t>
      </w:r>
      <w:r>
        <w:rPr>
          <w:noProof/>
        </w:rPr>
        <w:tab/>
      </w:r>
      <w:r>
        <w:rPr>
          <w:noProof/>
        </w:rPr>
        <w:fldChar w:fldCharType="begin"/>
      </w:r>
      <w:r>
        <w:rPr>
          <w:noProof/>
        </w:rPr>
        <w:instrText xml:space="preserve"> PAGEREF _Toc516058304 \h </w:instrText>
      </w:r>
      <w:r>
        <w:rPr>
          <w:noProof/>
        </w:rPr>
      </w:r>
      <w:r>
        <w:rPr>
          <w:noProof/>
        </w:rPr>
        <w:fldChar w:fldCharType="separate"/>
      </w:r>
      <w:r>
        <w:rPr>
          <w:noProof/>
        </w:rPr>
        <w:t>5</w:t>
      </w:r>
      <w:r>
        <w:rPr>
          <w:noProof/>
        </w:rPr>
        <w:fldChar w:fldCharType="end"/>
      </w:r>
    </w:p>
    <w:p w:rsidR="008B1F18" w:rsidRDefault="008B1F18">
      <w:pPr>
        <w:pStyle w:val="Obsah3"/>
        <w:tabs>
          <w:tab w:val="right" w:leader="dot" w:pos="9302"/>
        </w:tabs>
        <w:rPr>
          <w:rFonts w:asciiTheme="minorHAnsi" w:eastAsiaTheme="minorEastAsia" w:hAnsiTheme="minorHAnsi" w:cstheme="minorBidi"/>
          <w:i w:val="0"/>
          <w:iCs w:val="0"/>
          <w:noProof/>
          <w:spacing w:val="0"/>
          <w:szCs w:val="22"/>
          <w:lang w:eastAsia="cs-CZ" w:bidi="ar-SA"/>
        </w:rPr>
      </w:pPr>
      <w:r>
        <w:rPr>
          <w:noProof/>
        </w:rPr>
        <w:t>P.1.1 Území</w:t>
      </w:r>
      <w:r>
        <w:rPr>
          <w:noProof/>
        </w:rPr>
        <w:tab/>
      </w:r>
      <w:r>
        <w:rPr>
          <w:noProof/>
        </w:rPr>
        <w:fldChar w:fldCharType="begin"/>
      </w:r>
      <w:r>
        <w:rPr>
          <w:noProof/>
        </w:rPr>
        <w:instrText xml:space="preserve"> PAGEREF _Toc516058305 \h </w:instrText>
      </w:r>
      <w:r>
        <w:rPr>
          <w:noProof/>
        </w:rPr>
      </w:r>
      <w:r>
        <w:rPr>
          <w:noProof/>
        </w:rPr>
        <w:fldChar w:fldCharType="separate"/>
      </w:r>
      <w:r>
        <w:rPr>
          <w:noProof/>
        </w:rPr>
        <w:t>5</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 Identifikace řešeného území</w:t>
      </w:r>
      <w:r>
        <w:rPr>
          <w:noProof/>
        </w:rPr>
        <w:tab/>
      </w:r>
      <w:r>
        <w:rPr>
          <w:noProof/>
        </w:rPr>
        <w:fldChar w:fldCharType="begin"/>
      </w:r>
      <w:r>
        <w:rPr>
          <w:noProof/>
        </w:rPr>
        <w:instrText xml:space="preserve"> PAGEREF _Toc516058306 \h </w:instrText>
      </w:r>
      <w:r>
        <w:rPr>
          <w:noProof/>
        </w:rPr>
      </w:r>
      <w:r>
        <w:rPr>
          <w:noProof/>
        </w:rPr>
        <w:fldChar w:fldCharType="separate"/>
      </w:r>
      <w:r>
        <w:rPr>
          <w:noProof/>
        </w:rPr>
        <w:t>5</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 Historie</w:t>
      </w:r>
      <w:r>
        <w:rPr>
          <w:noProof/>
        </w:rPr>
        <w:tab/>
      </w:r>
      <w:r>
        <w:rPr>
          <w:noProof/>
        </w:rPr>
        <w:fldChar w:fldCharType="begin"/>
      </w:r>
      <w:r>
        <w:rPr>
          <w:noProof/>
        </w:rPr>
        <w:instrText xml:space="preserve"> PAGEREF _Toc516058307 \h </w:instrText>
      </w:r>
      <w:r>
        <w:rPr>
          <w:noProof/>
        </w:rPr>
      </w:r>
      <w:r>
        <w:rPr>
          <w:noProof/>
        </w:rPr>
        <w:fldChar w:fldCharType="separate"/>
      </w:r>
      <w:r>
        <w:rPr>
          <w:noProof/>
        </w:rPr>
        <w:t>5</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III.  Přírodní poměry</w:t>
      </w:r>
      <w:r>
        <w:rPr>
          <w:noProof/>
        </w:rPr>
        <w:tab/>
      </w:r>
      <w:r>
        <w:rPr>
          <w:noProof/>
        </w:rPr>
        <w:fldChar w:fldCharType="begin"/>
      </w:r>
      <w:r>
        <w:rPr>
          <w:noProof/>
        </w:rPr>
        <w:instrText xml:space="preserve"> PAGEREF _Toc516058308 \h </w:instrText>
      </w:r>
      <w:r>
        <w:rPr>
          <w:noProof/>
        </w:rPr>
      </w:r>
      <w:r>
        <w:rPr>
          <w:noProof/>
        </w:rPr>
        <w:fldChar w:fldCharType="separate"/>
      </w:r>
      <w:r>
        <w:rPr>
          <w:noProof/>
        </w:rPr>
        <w:t>9</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IV. Celková charakteristika města a regionu</w:t>
      </w:r>
      <w:r>
        <w:rPr>
          <w:noProof/>
        </w:rPr>
        <w:tab/>
      </w:r>
      <w:r>
        <w:rPr>
          <w:noProof/>
        </w:rPr>
        <w:fldChar w:fldCharType="begin"/>
      </w:r>
      <w:r>
        <w:rPr>
          <w:noProof/>
        </w:rPr>
        <w:instrText xml:space="preserve"> PAGEREF _Toc516058309 \h </w:instrText>
      </w:r>
      <w:r>
        <w:rPr>
          <w:noProof/>
        </w:rPr>
      </w:r>
      <w:r>
        <w:rPr>
          <w:noProof/>
        </w:rPr>
        <w:fldChar w:fldCharType="separate"/>
      </w:r>
      <w:r>
        <w:rPr>
          <w:noProof/>
        </w:rPr>
        <w:t>14</w:t>
      </w:r>
      <w:r>
        <w:rPr>
          <w:noProof/>
        </w:rPr>
        <w:fldChar w:fldCharType="end"/>
      </w:r>
    </w:p>
    <w:p w:rsidR="008B1F18" w:rsidRDefault="008B1F18">
      <w:pPr>
        <w:pStyle w:val="Obsah3"/>
        <w:tabs>
          <w:tab w:val="right" w:leader="dot" w:pos="9302"/>
        </w:tabs>
        <w:rPr>
          <w:rFonts w:asciiTheme="minorHAnsi" w:eastAsiaTheme="minorEastAsia" w:hAnsiTheme="minorHAnsi" w:cstheme="minorBidi"/>
          <w:i w:val="0"/>
          <w:iCs w:val="0"/>
          <w:noProof/>
          <w:spacing w:val="0"/>
          <w:szCs w:val="22"/>
          <w:lang w:eastAsia="cs-CZ" w:bidi="ar-SA"/>
        </w:rPr>
      </w:pPr>
      <w:r>
        <w:rPr>
          <w:noProof/>
        </w:rPr>
        <w:t>P.1.2 Obyvatelstvo</w:t>
      </w:r>
      <w:r>
        <w:rPr>
          <w:noProof/>
        </w:rPr>
        <w:tab/>
      </w:r>
      <w:r>
        <w:rPr>
          <w:noProof/>
        </w:rPr>
        <w:fldChar w:fldCharType="begin"/>
      </w:r>
      <w:r>
        <w:rPr>
          <w:noProof/>
        </w:rPr>
        <w:instrText xml:space="preserve"> PAGEREF _Toc516058310 \h </w:instrText>
      </w:r>
      <w:r>
        <w:rPr>
          <w:noProof/>
        </w:rPr>
      </w:r>
      <w:r>
        <w:rPr>
          <w:noProof/>
        </w:rPr>
        <w:fldChar w:fldCharType="separate"/>
      </w:r>
      <w:r>
        <w:rPr>
          <w:noProof/>
        </w:rPr>
        <w:t>17</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 Demografická situace</w:t>
      </w:r>
      <w:r>
        <w:rPr>
          <w:noProof/>
        </w:rPr>
        <w:tab/>
      </w:r>
      <w:r>
        <w:rPr>
          <w:noProof/>
        </w:rPr>
        <w:fldChar w:fldCharType="begin"/>
      </w:r>
      <w:r>
        <w:rPr>
          <w:noProof/>
        </w:rPr>
        <w:instrText xml:space="preserve"> PAGEREF _Toc516058311 \h </w:instrText>
      </w:r>
      <w:r>
        <w:rPr>
          <w:noProof/>
        </w:rPr>
      </w:r>
      <w:r>
        <w:rPr>
          <w:noProof/>
        </w:rPr>
        <w:fldChar w:fldCharType="separate"/>
      </w:r>
      <w:r>
        <w:rPr>
          <w:noProof/>
        </w:rPr>
        <w:t>17</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 Sociální situace</w:t>
      </w:r>
      <w:r>
        <w:rPr>
          <w:noProof/>
        </w:rPr>
        <w:tab/>
      </w:r>
      <w:r>
        <w:rPr>
          <w:noProof/>
        </w:rPr>
        <w:fldChar w:fldCharType="begin"/>
      </w:r>
      <w:r>
        <w:rPr>
          <w:noProof/>
        </w:rPr>
        <w:instrText xml:space="preserve"> PAGEREF _Toc516058312 \h </w:instrText>
      </w:r>
      <w:r>
        <w:rPr>
          <w:noProof/>
        </w:rPr>
      </w:r>
      <w:r>
        <w:rPr>
          <w:noProof/>
        </w:rPr>
        <w:fldChar w:fldCharType="separate"/>
      </w:r>
      <w:r>
        <w:rPr>
          <w:noProof/>
        </w:rPr>
        <w:t>25</w:t>
      </w:r>
      <w:r>
        <w:rPr>
          <w:noProof/>
        </w:rPr>
        <w:fldChar w:fldCharType="end"/>
      </w:r>
    </w:p>
    <w:p w:rsidR="008B1F18" w:rsidRDefault="008B1F18">
      <w:pPr>
        <w:pStyle w:val="Obsah3"/>
        <w:tabs>
          <w:tab w:val="right" w:leader="dot" w:pos="9302"/>
        </w:tabs>
        <w:rPr>
          <w:rFonts w:asciiTheme="minorHAnsi" w:eastAsiaTheme="minorEastAsia" w:hAnsiTheme="minorHAnsi" w:cstheme="minorBidi"/>
          <w:i w:val="0"/>
          <w:iCs w:val="0"/>
          <w:noProof/>
          <w:spacing w:val="0"/>
          <w:szCs w:val="22"/>
          <w:lang w:eastAsia="cs-CZ" w:bidi="ar-SA"/>
        </w:rPr>
      </w:pPr>
      <w:r>
        <w:rPr>
          <w:noProof/>
        </w:rPr>
        <w:t>P.1.3 Hospodářství</w:t>
      </w:r>
      <w:r>
        <w:rPr>
          <w:noProof/>
        </w:rPr>
        <w:tab/>
      </w:r>
      <w:r>
        <w:rPr>
          <w:noProof/>
        </w:rPr>
        <w:fldChar w:fldCharType="begin"/>
      </w:r>
      <w:r>
        <w:rPr>
          <w:noProof/>
        </w:rPr>
        <w:instrText xml:space="preserve"> PAGEREF _Toc516058313 \h </w:instrText>
      </w:r>
      <w:r>
        <w:rPr>
          <w:noProof/>
        </w:rPr>
      </w:r>
      <w:r>
        <w:rPr>
          <w:noProof/>
        </w:rPr>
        <w:fldChar w:fldCharType="separate"/>
      </w:r>
      <w:r>
        <w:rPr>
          <w:noProof/>
        </w:rPr>
        <w:t>29</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 Ekonomická situace</w:t>
      </w:r>
      <w:r>
        <w:rPr>
          <w:noProof/>
        </w:rPr>
        <w:tab/>
      </w:r>
      <w:r>
        <w:rPr>
          <w:noProof/>
        </w:rPr>
        <w:fldChar w:fldCharType="begin"/>
      </w:r>
      <w:r>
        <w:rPr>
          <w:noProof/>
        </w:rPr>
        <w:instrText xml:space="preserve"> PAGEREF _Toc516058314 \h </w:instrText>
      </w:r>
      <w:r>
        <w:rPr>
          <w:noProof/>
        </w:rPr>
      </w:r>
      <w:r>
        <w:rPr>
          <w:noProof/>
        </w:rPr>
        <w:fldChar w:fldCharType="separate"/>
      </w:r>
      <w:r>
        <w:rPr>
          <w:noProof/>
        </w:rPr>
        <w:t>29</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 Trh práce</w:t>
      </w:r>
      <w:r>
        <w:rPr>
          <w:noProof/>
        </w:rPr>
        <w:tab/>
      </w:r>
      <w:r>
        <w:rPr>
          <w:noProof/>
        </w:rPr>
        <w:fldChar w:fldCharType="begin"/>
      </w:r>
      <w:r>
        <w:rPr>
          <w:noProof/>
        </w:rPr>
        <w:instrText xml:space="preserve"> PAGEREF _Toc516058315 \h </w:instrText>
      </w:r>
      <w:r>
        <w:rPr>
          <w:noProof/>
        </w:rPr>
      </w:r>
      <w:r>
        <w:rPr>
          <w:noProof/>
        </w:rPr>
        <w:fldChar w:fldCharType="separate"/>
      </w:r>
      <w:r>
        <w:rPr>
          <w:noProof/>
        </w:rPr>
        <w:t>34</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III. Cestovní ruch</w:t>
      </w:r>
      <w:r>
        <w:rPr>
          <w:noProof/>
        </w:rPr>
        <w:tab/>
      </w:r>
      <w:r>
        <w:rPr>
          <w:noProof/>
        </w:rPr>
        <w:fldChar w:fldCharType="begin"/>
      </w:r>
      <w:r>
        <w:rPr>
          <w:noProof/>
        </w:rPr>
        <w:instrText xml:space="preserve"> PAGEREF _Toc516058316 \h </w:instrText>
      </w:r>
      <w:r>
        <w:rPr>
          <w:noProof/>
        </w:rPr>
      </w:r>
      <w:r>
        <w:rPr>
          <w:noProof/>
        </w:rPr>
        <w:fldChar w:fldCharType="separate"/>
      </w:r>
      <w:r>
        <w:rPr>
          <w:noProof/>
        </w:rPr>
        <w:t>36</w:t>
      </w:r>
      <w:r>
        <w:rPr>
          <w:noProof/>
        </w:rPr>
        <w:fldChar w:fldCharType="end"/>
      </w:r>
    </w:p>
    <w:p w:rsidR="008B1F18" w:rsidRDefault="008B1F18">
      <w:pPr>
        <w:pStyle w:val="Obsah3"/>
        <w:tabs>
          <w:tab w:val="right" w:leader="dot" w:pos="9302"/>
        </w:tabs>
        <w:rPr>
          <w:rFonts w:asciiTheme="minorHAnsi" w:eastAsiaTheme="minorEastAsia" w:hAnsiTheme="minorHAnsi" w:cstheme="minorBidi"/>
          <w:i w:val="0"/>
          <w:iCs w:val="0"/>
          <w:noProof/>
          <w:spacing w:val="0"/>
          <w:szCs w:val="22"/>
          <w:lang w:eastAsia="cs-CZ" w:bidi="ar-SA"/>
        </w:rPr>
      </w:pPr>
      <w:r>
        <w:rPr>
          <w:noProof/>
        </w:rPr>
        <w:t>P.1.4 Infrastruktura</w:t>
      </w:r>
      <w:r>
        <w:rPr>
          <w:noProof/>
        </w:rPr>
        <w:tab/>
      </w:r>
      <w:r>
        <w:rPr>
          <w:noProof/>
        </w:rPr>
        <w:fldChar w:fldCharType="begin"/>
      </w:r>
      <w:r>
        <w:rPr>
          <w:noProof/>
        </w:rPr>
        <w:instrText xml:space="preserve"> PAGEREF _Toc516058317 \h </w:instrText>
      </w:r>
      <w:r>
        <w:rPr>
          <w:noProof/>
        </w:rPr>
      </w:r>
      <w:r>
        <w:rPr>
          <w:noProof/>
        </w:rPr>
        <w:fldChar w:fldCharType="separate"/>
      </w:r>
      <w:r>
        <w:rPr>
          <w:noProof/>
        </w:rPr>
        <w:t>42</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 Technická infrastruktura</w:t>
      </w:r>
      <w:r>
        <w:rPr>
          <w:noProof/>
        </w:rPr>
        <w:tab/>
      </w:r>
      <w:r>
        <w:rPr>
          <w:noProof/>
        </w:rPr>
        <w:fldChar w:fldCharType="begin"/>
      </w:r>
      <w:r>
        <w:rPr>
          <w:noProof/>
        </w:rPr>
        <w:instrText xml:space="preserve"> PAGEREF _Toc516058318 \h </w:instrText>
      </w:r>
      <w:r>
        <w:rPr>
          <w:noProof/>
        </w:rPr>
      </w:r>
      <w:r>
        <w:rPr>
          <w:noProof/>
        </w:rPr>
        <w:fldChar w:fldCharType="separate"/>
      </w:r>
      <w:r>
        <w:rPr>
          <w:noProof/>
        </w:rPr>
        <w:t>42</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 Dopravní infrastruktura</w:t>
      </w:r>
      <w:r>
        <w:rPr>
          <w:noProof/>
        </w:rPr>
        <w:tab/>
      </w:r>
      <w:r>
        <w:rPr>
          <w:noProof/>
        </w:rPr>
        <w:fldChar w:fldCharType="begin"/>
      </w:r>
      <w:r>
        <w:rPr>
          <w:noProof/>
        </w:rPr>
        <w:instrText xml:space="preserve"> PAGEREF _Toc516058319 \h </w:instrText>
      </w:r>
      <w:r>
        <w:rPr>
          <w:noProof/>
        </w:rPr>
      </w:r>
      <w:r>
        <w:rPr>
          <w:noProof/>
        </w:rPr>
        <w:fldChar w:fldCharType="separate"/>
      </w:r>
      <w:r>
        <w:rPr>
          <w:noProof/>
        </w:rPr>
        <w:t>46</w:t>
      </w:r>
      <w:r>
        <w:rPr>
          <w:noProof/>
        </w:rPr>
        <w:fldChar w:fldCharType="end"/>
      </w:r>
    </w:p>
    <w:p w:rsidR="008B1F18" w:rsidRDefault="008B1F18">
      <w:pPr>
        <w:pStyle w:val="Obsah3"/>
        <w:tabs>
          <w:tab w:val="right" w:leader="dot" w:pos="9302"/>
        </w:tabs>
        <w:rPr>
          <w:rFonts w:asciiTheme="minorHAnsi" w:eastAsiaTheme="minorEastAsia" w:hAnsiTheme="minorHAnsi" w:cstheme="minorBidi"/>
          <w:i w:val="0"/>
          <w:iCs w:val="0"/>
          <w:noProof/>
          <w:spacing w:val="0"/>
          <w:szCs w:val="22"/>
          <w:lang w:eastAsia="cs-CZ" w:bidi="ar-SA"/>
        </w:rPr>
      </w:pPr>
      <w:r>
        <w:rPr>
          <w:noProof/>
        </w:rPr>
        <w:t>P.1.5 Vybavenost</w:t>
      </w:r>
      <w:r>
        <w:rPr>
          <w:noProof/>
        </w:rPr>
        <w:tab/>
      </w:r>
      <w:r>
        <w:rPr>
          <w:noProof/>
        </w:rPr>
        <w:fldChar w:fldCharType="begin"/>
      </w:r>
      <w:r>
        <w:rPr>
          <w:noProof/>
        </w:rPr>
        <w:instrText xml:space="preserve"> PAGEREF _Toc516058320 \h </w:instrText>
      </w:r>
      <w:r>
        <w:rPr>
          <w:noProof/>
        </w:rPr>
      </w:r>
      <w:r>
        <w:rPr>
          <w:noProof/>
        </w:rPr>
        <w:fldChar w:fldCharType="separate"/>
      </w:r>
      <w:r>
        <w:rPr>
          <w:noProof/>
        </w:rPr>
        <w:t>51</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 Bydlení</w:t>
      </w:r>
      <w:r>
        <w:rPr>
          <w:noProof/>
        </w:rPr>
        <w:tab/>
      </w:r>
      <w:r>
        <w:rPr>
          <w:noProof/>
        </w:rPr>
        <w:fldChar w:fldCharType="begin"/>
      </w:r>
      <w:r>
        <w:rPr>
          <w:noProof/>
        </w:rPr>
        <w:instrText xml:space="preserve"> PAGEREF _Toc516058321 \h </w:instrText>
      </w:r>
      <w:r>
        <w:rPr>
          <w:noProof/>
        </w:rPr>
      </w:r>
      <w:r>
        <w:rPr>
          <w:noProof/>
        </w:rPr>
        <w:fldChar w:fldCharType="separate"/>
      </w:r>
      <w:r>
        <w:rPr>
          <w:noProof/>
        </w:rPr>
        <w:t>51</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 Školství a vzdělávání</w:t>
      </w:r>
      <w:r>
        <w:rPr>
          <w:noProof/>
        </w:rPr>
        <w:tab/>
      </w:r>
      <w:r>
        <w:rPr>
          <w:noProof/>
        </w:rPr>
        <w:fldChar w:fldCharType="begin"/>
      </w:r>
      <w:r>
        <w:rPr>
          <w:noProof/>
        </w:rPr>
        <w:instrText xml:space="preserve"> PAGEREF _Toc516058322 \h </w:instrText>
      </w:r>
      <w:r>
        <w:rPr>
          <w:noProof/>
        </w:rPr>
      </w:r>
      <w:r>
        <w:rPr>
          <w:noProof/>
        </w:rPr>
        <w:fldChar w:fldCharType="separate"/>
      </w:r>
      <w:r>
        <w:rPr>
          <w:noProof/>
        </w:rPr>
        <w:t>53</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III. Zdravotnictví</w:t>
      </w:r>
      <w:r>
        <w:rPr>
          <w:noProof/>
        </w:rPr>
        <w:tab/>
      </w:r>
      <w:r>
        <w:rPr>
          <w:noProof/>
        </w:rPr>
        <w:fldChar w:fldCharType="begin"/>
      </w:r>
      <w:r>
        <w:rPr>
          <w:noProof/>
        </w:rPr>
        <w:instrText xml:space="preserve"> PAGEREF _Toc516058323 \h </w:instrText>
      </w:r>
      <w:r>
        <w:rPr>
          <w:noProof/>
        </w:rPr>
      </w:r>
      <w:r>
        <w:rPr>
          <w:noProof/>
        </w:rPr>
        <w:fldChar w:fldCharType="separate"/>
      </w:r>
      <w:r>
        <w:rPr>
          <w:noProof/>
        </w:rPr>
        <w:t>54</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IV. Sociální péče</w:t>
      </w:r>
      <w:r>
        <w:rPr>
          <w:noProof/>
        </w:rPr>
        <w:tab/>
      </w:r>
      <w:r>
        <w:rPr>
          <w:noProof/>
        </w:rPr>
        <w:fldChar w:fldCharType="begin"/>
      </w:r>
      <w:r>
        <w:rPr>
          <w:noProof/>
        </w:rPr>
        <w:instrText xml:space="preserve"> PAGEREF _Toc516058324 \h </w:instrText>
      </w:r>
      <w:r>
        <w:rPr>
          <w:noProof/>
        </w:rPr>
      </w:r>
      <w:r>
        <w:rPr>
          <w:noProof/>
        </w:rPr>
        <w:fldChar w:fldCharType="separate"/>
      </w:r>
      <w:r>
        <w:rPr>
          <w:noProof/>
        </w:rPr>
        <w:t>54</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V. Kultura</w:t>
      </w:r>
      <w:r>
        <w:rPr>
          <w:noProof/>
        </w:rPr>
        <w:tab/>
      </w:r>
      <w:r>
        <w:rPr>
          <w:noProof/>
        </w:rPr>
        <w:fldChar w:fldCharType="begin"/>
      </w:r>
      <w:r>
        <w:rPr>
          <w:noProof/>
        </w:rPr>
        <w:instrText xml:space="preserve"> PAGEREF _Toc516058325 \h </w:instrText>
      </w:r>
      <w:r>
        <w:rPr>
          <w:noProof/>
        </w:rPr>
      </w:r>
      <w:r>
        <w:rPr>
          <w:noProof/>
        </w:rPr>
        <w:fldChar w:fldCharType="separate"/>
      </w:r>
      <w:r>
        <w:rPr>
          <w:noProof/>
        </w:rPr>
        <w:t>55</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VI. Sport a tělovýchova</w:t>
      </w:r>
      <w:r>
        <w:rPr>
          <w:noProof/>
        </w:rPr>
        <w:tab/>
      </w:r>
      <w:r>
        <w:rPr>
          <w:noProof/>
        </w:rPr>
        <w:fldChar w:fldCharType="begin"/>
      </w:r>
      <w:r>
        <w:rPr>
          <w:noProof/>
        </w:rPr>
        <w:instrText xml:space="preserve"> PAGEREF _Toc516058326 \h </w:instrText>
      </w:r>
      <w:r>
        <w:rPr>
          <w:noProof/>
        </w:rPr>
      </w:r>
      <w:r>
        <w:rPr>
          <w:noProof/>
        </w:rPr>
        <w:fldChar w:fldCharType="separate"/>
      </w:r>
      <w:r>
        <w:rPr>
          <w:noProof/>
        </w:rPr>
        <w:t>56</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VII. Zájmová činnost mládeže</w:t>
      </w:r>
      <w:r>
        <w:rPr>
          <w:noProof/>
        </w:rPr>
        <w:tab/>
      </w:r>
      <w:r>
        <w:rPr>
          <w:noProof/>
        </w:rPr>
        <w:fldChar w:fldCharType="begin"/>
      </w:r>
      <w:r>
        <w:rPr>
          <w:noProof/>
        </w:rPr>
        <w:instrText xml:space="preserve"> PAGEREF _Toc516058327 \h </w:instrText>
      </w:r>
      <w:r>
        <w:rPr>
          <w:noProof/>
        </w:rPr>
      </w:r>
      <w:r>
        <w:rPr>
          <w:noProof/>
        </w:rPr>
        <w:fldChar w:fldCharType="separate"/>
      </w:r>
      <w:r>
        <w:rPr>
          <w:noProof/>
        </w:rPr>
        <w:t>57</w:t>
      </w:r>
      <w:r>
        <w:rPr>
          <w:noProof/>
        </w:rPr>
        <w:fldChar w:fldCharType="end"/>
      </w:r>
    </w:p>
    <w:p w:rsidR="008B1F18" w:rsidRDefault="008B1F18">
      <w:pPr>
        <w:pStyle w:val="Obsah3"/>
        <w:tabs>
          <w:tab w:val="right" w:leader="dot" w:pos="9302"/>
        </w:tabs>
        <w:rPr>
          <w:rFonts w:asciiTheme="minorHAnsi" w:eastAsiaTheme="minorEastAsia" w:hAnsiTheme="minorHAnsi" w:cstheme="minorBidi"/>
          <w:i w:val="0"/>
          <w:iCs w:val="0"/>
          <w:noProof/>
          <w:spacing w:val="0"/>
          <w:szCs w:val="22"/>
          <w:lang w:eastAsia="cs-CZ" w:bidi="ar-SA"/>
        </w:rPr>
      </w:pPr>
      <w:r>
        <w:rPr>
          <w:noProof/>
        </w:rPr>
        <w:t>P.1.6 Životní prostředí</w:t>
      </w:r>
      <w:r>
        <w:rPr>
          <w:noProof/>
        </w:rPr>
        <w:tab/>
      </w:r>
      <w:r>
        <w:rPr>
          <w:noProof/>
        </w:rPr>
        <w:fldChar w:fldCharType="begin"/>
      </w:r>
      <w:r>
        <w:rPr>
          <w:noProof/>
        </w:rPr>
        <w:instrText xml:space="preserve"> PAGEREF _Toc516058328 \h </w:instrText>
      </w:r>
      <w:r>
        <w:rPr>
          <w:noProof/>
        </w:rPr>
      </w:r>
      <w:r>
        <w:rPr>
          <w:noProof/>
        </w:rPr>
        <w:fldChar w:fldCharType="separate"/>
      </w:r>
      <w:r>
        <w:rPr>
          <w:noProof/>
        </w:rPr>
        <w:t>58</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 Stav životního prostředí</w:t>
      </w:r>
      <w:r>
        <w:rPr>
          <w:noProof/>
        </w:rPr>
        <w:tab/>
      </w:r>
      <w:r>
        <w:rPr>
          <w:noProof/>
        </w:rPr>
        <w:fldChar w:fldCharType="begin"/>
      </w:r>
      <w:r>
        <w:rPr>
          <w:noProof/>
        </w:rPr>
        <w:instrText xml:space="preserve"> PAGEREF _Toc516058329 \h </w:instrText>
      </w:r>
      <w:r>
        <w:rPr>
          <w:noProof/>
        </w:rPr>
      </w:r>
      <w:r>
        <w:rPr>
          <w:noProof/>
        </w:rPr>
        <w:fldChar w:fldCharType="separate"/>
      </w:r>
      <w:r>
        <w:rPr>
          <w:noProof/>
        </w:rPr>
        <w:t>58</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 Ochrana životního prostředí</w:t>
      </w:r>
      <w:r>
        <w:rPr>
          <w:noProof/>
        </w:rPr>
        <w:tab/>
      </w:r>
      <w:r>
        <w:rPr>
          <w:noProof/>
        </w:rPr>
        <w:fldChar w:fldCharType="begin"/>
      </w:r>
      <w:r>
        <w:rPr>
          <w:noProof/>
        </w:rPr>
        <w:instrText xml:space="preserve"> PAGEREF _Toc516058330 \h </w:instrText>
      </w:r>
      <w:r>
        <w:rPr>
          <w:noProof/>
        </w:rPr>
      </w:r>
      <w:r>
        <w:rPr>
          <w:noProof/>
        </w:rPr>
        <w:fldChar w:fldCharType="separate"/>
      </w:r>
      <w:r>
        <w:rPr>
          <w:noProof/>
        </w:rPr>
        <w:t>68</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III. Péče o životního prostředí</w:t>
      </w:r>
      <w:r>
        <w:rPr>
          <w:noProof/>
        </w:rPr>
        <w:tab/>
      </w:r>
      <w:r>
        <w:rPr>
          <w:noProof/>
        </w:rPr>
        <w:fldChar w:fldCharType="begin"/>
      </w:r>
      <w:r>
        <w:rPr>
          <w:noProof/>
        </w:rPr>
        <w:instrText xml:space="preserve"> PAGEREF _Toc516058331 \h </w:instrText>
      </w:r>
      <w:r>
        <w:rPr>
          <w:noProof/>
        </w:rPr>
      </w:r>
      <w:r>
        <w:rPr>
          <w:noProof/>
        </w:rPr>
        <w:fldChar w:fldCharType="separate"/>
      </w:r>
      <w:r>
        <w:rPr>
          <w:noProof/>
        </w:rPr>
        <w:t>73</w:t>
      </w:r>
      <w:r>
        <w:rPr>
          <w:noProof/>
        </w:rPr>
        <w:fldChar w:fldCharType="end"/>
      </w:r>
    </w:p>
    <w:p w:rsidR="008B1F18" w:rsidRDefault="008B1F18">
      <w:pPr>
        <w:pStyle w:val="Obsah3"/>
        <w:tabs>
          <w:tab w:val="right" w:leader="dot" w:pos="9302"/>
        </w:tabs>
        <w:rPr>
          <w:rFonts w:asciiTheme="minorHAnsi" w:eastAsiaTheme="minorEastAsia" w:hAnsiTheme="minorHAnsi" w:cstheme="minorBidi"/>
          <w:i w:val="0"/>
          <w:iCs w:val="0"/>
          <w:noProof/>
          <w:spacing w:val="0"/>
          <w:szCs w:val="22"/>
          <w:lang w:eastAsia="cs-CZ" w:bidi="ar-SA"/>
        </w:rPr>
      </w:pPr>
      <w:r>
        <w:rPr>
          <w:noProof/>
        </w:rPr>
        <w:lastRenderedPageBreak/>
        <w:t>P.1.7 Správa města</w:t>
      </w:r>
      <w:r>
        <w:rPr>
          <w:noProof/>
        </w:rPr>
        <w:tab/>
      </w:r>
      <w:r>
        <w:rPr>
          <w:noProof/>
        </w:rPr>
        <w:fldChar w:fldCharType="begin"/>
      </w:r>
      <w:r>
        <w:rPr>
          <w:noProof/>
        </w:rPr>
        <w:instrText xml:space="preserve"> PAGEREF _Toc516058332 \h </w:instrText>
      </w:r>
      <w:r>
        <w:rPr>
          <w:noProof/>
        </w:rPr>
      </w:r>
      <w:r>
        <w:rPr>
          <w:noProof/>
        </w:rPr>
        <w:fldChar w:fldCharType="separate"/>
      </w:r>
      <w:r>
        <w:rPr>
          <w:noProof/>
        </w:rPr>
        <w:t>75</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 Městský úřad a kompetence města</w:t>
      </w:r>
      <w:r>
        <w:rPr>
          <w:noProof/>
        </w:rPr>
        <w:tab/>
      </w:r>
      <w:r>
        <w:rPr>
          <w:noProof/>
        </w:rPr>
        <w:fldChar w:fldCharType="begin"/>
      </w:r>
      <w:r>
        <w:rPr>
          <w:noProof/>
        </w:rPr>
        <w:instrText xml:space="preserve"> PAGEREF _Toc516058333 \h </w:instrText>
      </w:r>
      <w:r>
        <w:rPr>
          <w:noProof/>
        </w:rPr>
      </w:r>
      <w:r>
        <w:rPr>
          <w:noProof/>
        </w:rPr>
        <w:fldChar w:fldCharType="separate"/>
      </w:r>
      <w:r>
        <w:rPr>
          <w:noProof/>
        </w:rPr>
        <w:t>75</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 Hospodaření a majetek města</w:t>
      </w:r>
      <w:r>
        <w:rPr>
          <w:noProof/>
        </w:rPr>
        <w:tab/>
      </w:r>
      <w:r>
        <w:rPr>
          <w:noProof/>
        </w:rPr>
        <w:fldChar w:fldCharType="begin"/>
      </w:r>
      <w:r>
        <w:rPr>
          <w:noProof/>
        </w:rPr>
        <w:instrText xml:space="preserve"> PAGEREF _Toc516058334 \h </w:instrText>
      </w:r>
      <w:r>
        <w:rPr>
          <w:noProof/>
        </w:rPr>
      </w:r>
      <w:r>
        <w:rPr>
          <w:noProof/>
        </w:rPr>
        <w:fldChar w:fldCharType="separate"/>
      </w:r>
      <w:r>
        <w:rPr>
          <w:noProof/>
        </w:rPr>
        <w:t>75</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III. Bezpečnost</w:t>
      </w:r>
      <w:r>
        <w:rPr>
          <w:noProof/>
        </w:rPr>
        <w:tab/>
      </w:r>
      <w:r>
        <w:rPr>
          <w:noProof/>
        </w:rPr>
        <w:fldChar w:fldCharType="begin"/>
      </w:r>
      <w:r>
        <w:rPr>
          <w:noProof/>
        </w:rPr>
        <w:instrText xml:space="preserve"> PAGEREF _Toc516058335 \h </w:instrText>
      </w:r>
      <w:r>
        <w:rPr>
          <w:noProof/>
        </w:rPr>
      </w:r>
      <w:r>
        <w:rPr>
          <w:noProof/>
        </w:rPr>
        <w:fldChar w:fldCharType="separate"/>
      </w:r>
      <w:r>
        <w:rPr>
          <w:noProof/>
        </w:rPr>
        <w:t>77</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IV. Vnější vztahy a vazby</w:t>
      </w:r>
      <w:r>
        <w:rPr>
          <w:noProof/>
        </w:rPr>
        <w:tab/>
      </w:r>
      <w:r>
        <w:rPr>
          <w:noProof/>
        </w:rPr>
        <w:fldChar w:fldCharType="begin"/>
      </w:r>
      <w:r>
        <w:rPr>
          <w:noProof/>
        </w:rPr>
        <w:instrText xml:space="preserve"> PAGEREF _Toc516058336 \h </w:instrText>
      </w:r>
      <w:r>
        <w:rPr>
          <w:noProof/>
        </w:rPr>
      </w:r>
      <w:r>
        <w:rPr>
          <w:noProof/>
        </w:rPr>
        <w:fldChar w:fldCharType="separate"/>
      </w:r>
      <w:r>
        <w:rPr>
          <w:noProof/>
        </w:rPr>
        <w:t>81</w:t>
      </w:r>
      <w:r>
        <w:rPr>
          <w:noProof/>
        </w:rPr>
        <w:fldChar w:fldCharType="end"/>
      </w:r>
    </w:p>
    <w:p w:rsidR="008B1F18" w:rsidRDefault="008B1F18">
      <w:pPr>
        <w:pStyle w:val="Obsah3"/>
        <w:tabs>
          <w:tab w:val="right" w:leader="dot" w:pos="9302"/>
        </w:tabs>
        <w:rPr>
          <w:rFonts w:asciiTheme="minorHAnsi" w:eastAsiaTheme="minorEastAsia" w:hAnsiTheme="minorHAnsi" w:cstheme="minorBidi"/>
          <w:i w:val="0"/>
          <w:iCs w:val="0"/>
          <w:noProof/>
          <w:spacing w:val="0"/>
          <w:szCs w:val="22"/>
          <w:lang w:eastAsia="cs-CZ" w:bidi="ar-SA"/>
        </w:rPr>
      </w:pPr>
      <w:r>
        <w:rPr>
          <w:noProof/>
        </w:rPr>
        <w:t>P.1.8 Vnější prostředí</w:t>
      </w:r>
      <w:r>
        <w:rPr>
          <w:noProof/>
        </w:rPr>
        <w:tab/>
      </w:r>
      <w:r>
        <w:rPr>
          <w:noProof/>
        </w:rPr>
        <w:fldChar w:fldCharType="begin"/>
      </w:r>
      <w:r>
        <w:rPr>
          <w:noProof/>
        </w:rPr>
        <w:instrText xml:space="preserve"> PAGEREF _Toc516058337 \h </w:instrText>
      </w:r>
      <w:r>
        <w:rPr>
          <w:noProof/>
        </w:rPr>
      </w:r>
      <w:r>
        <w:rPr>
          <w:noProof/>
        </w:rPr>
        <w:fldChar w:fldCharType="separate"/>
      </w:r>
      <w:r>
        <w:rPr>
          <w:noProof/>
        </w:rPr>
        <w:t>83</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 Politické prostředí</w:t>
      </w:r>
      <w:r>
        <w:rPr>
          <w:noProof/>
        </w:rPr>
        <w:tab/>
      </w:r>
      <w:r>
        <w:rPr>
          <w:noProof/>
        </w:rPr>
        <w:fldChar w:fldCharType="begin"/>
      </w:r>
      <w:r>
        <w:rPr>
          <w:noProof/>
        </w:rPr>
        <w:instrText xml:space="preserve"> PAGEREF _Toc516058338 \h </w:instrText>
      </w:r>
      <w:r>
        <w:rPr>
          <w:noProof/>
        </w:rPr>
      </w:r>
      <w:r>
        <w:rPr>
          <w:noProof/>
        </w:rPr>
        <w:fldChar w:fldCharType="separate"/>
      </w:r>
      <w:r>
        <w:rPr>
          <w:noProof/>
        </w:rPr>
        <w:t>83</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 Ekonomické prostředí</w:t>
      </w:r>
      <w:r>
        <w:rPr>
          <w:noProof/>
        </w:rPr>
        <w:tab/>
      </w:r>
      <w:r>
        <w:rPr>
          <w:noProof/>
        </w:rPr>
        <w:fldChar w:fldCharType="begin"/>
      </w:r>
      <w:r>
        <w:rPr>
          <w:noProof/>
        </w:rPr>
        <w:instrText xml:space="preserve"> PAGEREF _Toc516058339 \h </w:instrText>
      </w:r>
      <w:r>
        <w:rPr>
          <w:noProof/>
        </w:rPr>
      </w:r>
      <w:r>
        <w:rPr>
          <w:noProof/>
        </w:rPr>
        <w:fldChar w:fldCharType="separate"/>
      </w:r>
      <w:r>
        <w:rPr>
          <w:noProof/>
        </w:rPr>
        <w:t>83</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III. Sociální prostředí</w:t>
      </w:r>
      <w:r>
        <w:rPr>
          <w:noProof/>
        </w:rPr>
        <w:tab/>
      </w:r>
      <w:r>
        <w:rPr>
          <w:noProof/>
        </w:rPr>
        <w:fldChar w:fldCharType="begin"/>
      </w:r>
      <w:r>
        <w:rPr>
          <w:noProof/>
        </w:rPr>
        <w:instrText xml:space="preserve"> PAGEREF _Toc516058340 \h </w:instrText>
      </w:r>
      <w:r>
        <w:rPr>
          <w:noProof/>
        </w:rPr>
      </w:r>
      <w:r>
        <w:rPr>
          <w:noProof/>
        </w:rPr>
        <w:fldChar w:fldCharType="separate"/>
      </w:r>
      <w:r>
        <w:rPr>
          <w:noProof/>
        </w:rPr>
        <w:t>83</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IV. Technické a technologické prostředí</w:t>
      </w:r>
      <w:r>
        <w:rPr>
          <w:noProof/>
        </w:rPr>
        <w:tab/>
      </w:r>
      <w:r>
        <w:rPr>
          <w:noProof/>
        </w:rPr>
        <w:fldChar w:fldCharType="begin"/>
      </w:r>
      <w:r>
        <w:rPr>
          <w:noProof/>
        </w:rPr>
        <w:instrText xml:space="preserve"> PAGEREF _Toc516058341 \h </w:instrText>
      </w:r>
      <w:r>
        <w:rPr>
          <w:noProof/>
        </w:rPr>
      </w:r>
      <w:r>
        <w:rPr>
          <w:noProof/>
        </w:rPr>
        <w:fldChar w:fldCharType="separate"/>
      </w:r>
      <w:r>
        <w:rPr>
          <w:noProof/>
        </w:rPr>
        <w:t>84</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V. Legislativní prostředí</w:t>
      </w:r>
      <w:r>
        <w:rPr>
          <w:noProof/>
        </w:rPr>
        <w:tab/>
      </w:r>
      <w:r>
        <w:rPr>
          <w:noProof/>
        </w:rPr>
        <w:fldChar w:fldCharType="begin"/>
      </w:r>
      <w:r>
        <w:rPr>
          <w:noProof/>
        </w:rPr>
        <w:instrText xml:space="preserve"> PAGEREF _Toc516058342 \h </w:instrText>
      </w:r>
      <w:r>
        <w:rPr>
          <w:noProof/>
        </w:rPr>
      </w:r>
      <w:r>
        <w:rPr>
          <w:noProof/>
        </w:rPr>
        <w:fldChar w:fldCharType="separate"/>
      </w:r>
      <w:r>
        <w:rPr>
          <w:noProof/>
        </w:rPr>
        <w:t>84</w:t>
      </w:r>
      <w:r>
        <w:rPr>
          <w:noProof/>
        </w:rPr>
        <w:fldChar w:fldCharType="end"/>
      </w:r>
    </w:p>
    <w:p w:rsidR="008B1F18" w:rsidRDefault="008B1F18">
      <w:pPr>
        <w:pStyle w:val="Obsah4"/>
        <w:rPr>
          <w:rFonts w:asciiTheme="minorHAnsi" w:eastAsiaTheme="minorEastAsia" w:hAnsiTheme="minorHAnsi" w:cstheme="minorBidi"/>
          <w:noProof/>
          <w:spacing w:val="0"/>
          <w:szCs w:val="22"/>
          <w:lang w:eastAsia="cs-CZ" w:bidi="ar-SA"/>
        </w:rPr>
      </w:pPr>
      <w:r w:rsidRPr="00BE3FDE">
        <w:rPr>
          <w:noProof/>
        </w:rPr>
        <w:t>VI. Environmentální prostředí</w:t>
      </w:r>
      <w:r>
        <w:rPr>
          <w:noProof/>
        </w:rPr>
        <w:tab/>
      </w:r>
      <w:r>
        <w:rPr>
          <w:noProof/>
        </w:rPr>
        <w:fldChar w:fldCharType="begin"/>
      </w:r>
      <w:r>
        <w:rPr>
          <w:noProof/>
        </w:rPr>
        <w:instrText xml:space="preserve"> PAGEREF _Toc516058343 \h </w:instrText>
      </w:r>
      <w:r>
        <w:rPr>
          <w:noProof/>
        </w:rPr>
      </w:r>
      <w:r>
        <w:rPr>
          <w:noProof/>
        </w:rPr>
        <w:fldChar w:fldCharType="separate"/>
      </w:r>
      <w:r>
        <w:rPr>
          <w:noProof/>
        </w:rPr>
        <w:t>84</w:t>
      </w:r>
      <w:r>
        <w:rPr>
          <w:noProof/>
        </w:rPr>
        <w:fldChar w:fldCharType="end"/>
      </w:r>
    </w:p>
    <w:p w:rsidR="008B1F18" w:rsidRDefault="008B1F18">
      <w:pPr>
        <w:pStyle w:val="Obsah1"/>
        <w:rPr>
          <w:rFonts w:asciiTheme="minorHAnsi" w:eastAsiaTheme="minorEastAsia" w:hAnsiTheme="minorHAnsi" w:cstheme="minorBidi"/>
          <w:b w:val="0"/>
          <w:bCs w:val="0"/>
          <w:caps w:val="0"/>
          <w:noProof/>
          <w:spacing w:val="0"/>
          <w:szCs w:val="22"/>
          <w:lang w:eastAsia="cs-CZ" w:bidi="ar-SA"/>
        </w:rPr>
      </w:pPr>
      <w:r>
        <w:rPr>
          <w:noProof/>
        </w:rPr>
        <w:t>Seznam zkratek</w:t>
      </w:r>
      <w:r>
        <w:rPr>
          <w:noProof/>
        </w:rPr>
        <w:tab/>
      </w:r>
      <w:r>
        <w:rPr>
          <w:noProof/>
        </w:rPr>
        <w:fldChar w:fldCharType="begin"/>
      </w:r>
      <w:r>
        <w:rPr>
          <w:noProof/>
        </w:rPr>
        <w:instrText xml:space="preserve"> PAGEREF _Toc516058344 \h </w:instrText>
      </w:r>
      <w:r>
        <w:rPr>
          <w:noProof/>
        </w:rPr>
      </w:r>
      <w:r>
        <w:rPr>
          <w:noProof/>
        </w:rPr>
        <w:fldChar w:fldCharType="separate"/>
      </w:r>
      <w:r>
        <w:rPr>
          <w:noProof/>
        </w:rPr>
        <w:t>85</w:t>
      </w:r>
      <w:r>
        <w:rPr>
          <w:noProof/>
        </w:rPr>
        <w:fldChar w:fldCharType="end"/>
      </w:r>
    </w:p>
    <w:p w:rsidR="008B1F18" w:rsidRDefault="008B1F18">
      <w:pPr>
        <w:pStyle w:val="Obsah1"/>
        <w:rPr>
          <w:rFonts w:asciiTheme="minorHAnsi" w:eastAsiaTheme="minorEastAsia" w:hAnsiTheme="minorHAnsi" w:cstheme="minorBidi"/>
          <w:b w:val="0"/>
          <w:bCs w:val="0"/>
          <w:caps w:val="0"/>
          <w:noProof/>
          <w:spacing w:val="0"/>
          <w:szCs w:val="22"/>
          <w:lang w:eastAsia="cs-CZ" w:bidi="ar-SA"/>
        </w:rPr>
      </w:pPr>
      <w:r>
        <w:rPr>
          <w:noProof/>
        </w:rPr>
        <w:t>Seznam tabulek</w:t>
      </w:r>
      <w:r>
        <w:rPr>
          <w:noProof/>
        </w:rPr>
        <w:tab/>
      </w:r>
      <w:r>
        <w:rPr>
          <w:noProof/>
        </w:rPr>
        <w:fldChar w:fldCharType="begin"/>
      </w:r>
      <w:r>
        <w:rPr>
          <w:noProof/>
        </w:rPr>
        <w:instrText xml:space="preserve"> PAGEREF _Toc516058345 \h </w:instrText>
      </w:r>
      <w:r>
        <w:rPr>
          <w:noProof/>
        </w:rPr>
      </w:r>
      <w:r>
        <w:rPr>
          <w:noProof/>
        </w:rPr>
        <w:fldChar w:fldCharType="separate"/>
      </w:r>
      <w:r>
        <w:rPr>
          <w:noProof/>
        </w:rPr>
        <w:t>86</w:t>
      </w:r>
      <w:r>
        <w:rPr>
          <w:noProof/>
        </w:rPr>
        <w:fldChar w:fldCharType="end"/>
      </w:r>
    </w:p>
    <w:p w:rsidR="008B1F18" w:rsidRDefault="008B1F18">
      <w:pPr>
        <w:pStyle w:val="Obsah1"/>
        <w:rPr>
          <w:rFonts w:asciiTheme="minorHAnsi" w:eastAsiaTheme="minorEastAsia" w:hAnsiTheme="minorHAnsi" w:cstheme="minorBidi"/>
          <w:b w:val="0"/>
          <w:bCs w:val="0"/>
          <w:caps w:val="0"/>
          <w:noProof/>
          <w:spacing w:val="0"/>
          <w:szCs w:val="22"/>
          <w:lang w:eastAsia="cs-CZ" w:bidi="ar-SA"/>
        </w:rPr>
      </w:pPr>
      <w:r>
        <w:rPr>
          <w:noProof/>
        </w:rPr>
        <w:t>Seznam obrázků</w:t>
      </w:r>
      <w:r>
        <w:rPr>
          <w:noProof/>
        </w:rPr>
        <w:tab/>
      </w:r>
      <w:r>
        <w:rPr>
          <w:noProof/>
        </w:rPr>
        <w:fldChar w:fldCharType="begin"/>
      </w:r>
      <w:r>
        <w:rPr>
          <w:noProof/>
        </w:rPr>
        <w:instrText xml:space="preserve"> PAGEREF _Toc516058346 \h </w:instrText>
      </w:r>
      <w:r>
        <w:rPr>
          <w:noProof/>
        </w:rPr>
      </w:r>
      <w:r>
        <w:rPr>
          <w:noProof/>
        </w:rPr>
        <w:fldChar w:fldCharType="separate"/>
      </w:r>
      <w:r>
        <w:rPr>
          <w:noProof/>
        </w:rPr>
        <w:t>88</w:t>
      </w:r>
      <w:r>
        <w:rPr>
          <w:noProof/>
        </w:rPr>
        <w:fldChar w:fldCharType="end"/>
      </w:r>
    </w:p>
    <w:p w:rsidR="00454F40" w:rsidRPr="00CF501E" w:rsidRDefault="005B55A2" w:rsidP="0075380D">
      <w:pPr>
        <w:spacing w:before="0" w:after="0" w:line="240" w:lineRule="auto"/>
        <w:rPr>
          <w:rFonts w:asciiTheme="majorHAnsi" w:hAnsiTheme="majorHAnsi"/>
        </w:rPr>
      </w:pPr>
      <w:r>
        <w:rPr>
          <w:rFonts w:asciiTheme="majorHAnsi" w:hAnsiTheme="majorHAnsi"/>
          <w:b/>
          <w:bCs/>
          <w:caps/>
        </w:rPr>
        <w:fldChar w:fldCharType="end"/>
      </w:r>
    </w:p>
    <w:p w:rsidR="0051413D" w:rsidRDefault="0051413D">
      <w:pPr>
        <w:spacing w:before="0" w:after="0" w:line="240" w:lineRule="auto"/>
        <w:jc w:val="left"/>
        <w:rPr>
          <w:b/>
          <w:bCs/>
          <w:color w:val="372C74"/>
          <w:spacing w:val="20"/>
          <w:sz w:val="28"/>
          <w:szCs w:val="22"/>
        </w:rPr>
      </w:pPr>
      <w:bookmarkStart w:id="19" w:name="_Toc352158290"/>
      <w:r>
        <w:br w:type="page"/>
      </w:r>
    </w:p>
    <w:p w:rsidR="00271D73" w:rsidRDefault="00E76AC4" w:rsidP="00E76AC4">
      <w:pPr>
        <w:pStyle w:val="Nadpis1"/>
        <w:spacing w:line="240" w:lineRule="auto"/>
      </w:pPr>
      <w:bookmarkStart w:id="20" w:name="_Toc516058304"/>
      <w:r>
        <w:lastRenderedPageBreak/>
        <w:t>P</w:t>
      </w:r>
      <w:r w:rsidR="007E332A">
        <w:t>.1</w:t>
      </w:r>
      <w:r w:rsidR="00271D73" w:rsidRPr="00DC2BE2">
        <w:t xml:space="preserve"> </w:t>
      </w:r>
      <w:r w:rsidR="009E3771">
        <w:t>Charakteristika</w:t>
      </w:r>
      <w:r w:rsidR="007E332A">
        <w:t xml:space="preserve"> města</w:t>
      </w:r>
      <w:bookmarkEnd w:id="19"/>
      <w:bookmarkEnd w:id="20"/>
    </w:p>
    <w:p w:rsidR="00405A9E" w:rsidRDefault="00405A9E" w:rsidP="008B1F18">
      <w:pPr>
        <w:autoSpaceDE w:val="0"/>
        <w:autoSpaceDN w:val="0"/>
        <w:adjustRightInd w:val="0"/>
        <w:spacing w:before="120" w:after="120"/>
        <w:rPr>
          <w:rFonts w:eastAsia="Times New Roman"/>
        </w:rPr>
      </w:pPr>
      <w:r>
        <w:rPr>
          <w:rStyle w:val="Zdraznnintenzivn"/>
        </w:rPr>
        <w:t>Charakteristika</w:t>
      </w:r>
      <w:r w:rsidRPr="00201492">
        <w:rPr>
          <w:rStyle w:val="Zdraznnintenzivn"/>
        </w:rPr>
        <w:t xml:space="preserve"> města</w:t>
      </w:r>
      <w:r w:rsidRPr="006E2C1A">
        <w:rPr>
          <w:rFonts w:eastAsia="Times New Roman"/>
        </w:rPr>
        <w:t xml:space="preserve"> </w:t>
      </w:r>
      <w:r w:rsidR="00E76AC4">
        <w:rPr>
          <w:rFonts w:eastAsia="Times New Roman"/>
        </w:rPr>
        <w:t>představuje komplexní analytický materiál</w:t>
      </w:r>
      <w:r w:rsidR="009F5528">
        <w:rPr>
          <w:rFonts w:eastAsia="Times New Roman"/>
        </w:rPr>
        <w:t xml:space="preserve">, který </w:t>
      </w:r>
      <w:r>
        <w:rPr>
          <w:rFonts w:eastAsia="Times New Roman"/>
        </w:rPr>
        <w:t xml:space="preserve">se v úvodu zaměří na </w:t>
      </w:r>
      <w:r w:rsidR="009F4910">
        <w:rPr>
          <w:rFonts w:eastAsia="Times New Roman"/>
        </w:rPr>
        <w:t>vnější faktory podmiňující budoucí rozvoj</w:t>
      </w:r>
      <w:r w:rsidRPr="00565D31">
        <w:rPr>
          <w:rStyle w:val="Zdraznnintenzivn"/>
          <w:rFonts w:asciiTheme="majorHAnsi" w:hAnsiTheme="majorHAnsi"/>
        </w:rPr>
        <w:t xml:space="preserve"> </w:t>
      </w:r>
      <w:r w:rsidRPr="00605AFC">
        <w:rPr>
          <w:rStyle w:val="Zdraznnintenzivn"/>
          <w:rFonts w:asciiTheme="majorHAnsi" w:hAnsiTheme="majorHAnsi"/>
        </w:rPr>
        <w:t>území</w:t>
      </w:r>
      <w:r>
        <w:rPr>
          <w:rFonts w:eastAsia="Times New Roman"/>
        </w:rPr>
        <w:t>, jehož se analýza týká, a dále se zaměř</w:t>
      </w:r>
      <w:r w:rsidR="000F518A">
        <w:rPr>
          <w:rFonts w:eastAsia="Times New Roman"/>
        </w:rPr>
        <w:t>í</w:t>
      </w:r>
      <w:r w:rsidRPr="006E2C1A">
        <w:rPr>
          <w:rFonts w:eastAsia="Times New Roman"/>
        </w:rPr>
        <w:t xml:space="preserve"> </w:t>
      </w:r>
      <w:r w:rsidR="009F4910">
        <w:rPr>
          <w:rFonts w:eastAsia="Times New Roman"/>
        </w:rPr>
        <w:t xml:space="preserve">vnitřní faktory budoucího rozvoje, to je </w:t>
      </w:r>
      <w:r>
        <w:rPr>
          <w:rFonts w:eastAsia="Times New Roman"/>
        </w:rPr>
        <w:t xml:space="preserve">na </w:t>
      </w:r>
      <w:r w:rsidR="000F518A">
        <w:rPr>
          <w:rFonts w:eastAsia="Times New Roman"/>
        </w:rPr>
        <w:t xml:space="preserve">jednotlivé </w:t>
      </w:r>
      <w:r>
        <w:rPr>
          <w:rFonts w:eastAsia="Times New Roman"/>
        </w:rPr>
        <w:t>oblasti</w:t>
      </w:r>
      <w:r w:rsidR="000F518A">
        <w:rPr>
          <w:rFonts w:eastAsia="Times New Roman"/>
        </w:rPr>
        <w:t>, charakterizující demografickou a socioekonomickou situaci ve městě.</w:t>
      </w:r>
    </w:p>
    <w:p w:rsidR="00271D73" w:rsidRDefault="009F5528" w:rsidP="0075380D">
      <w:pPr>
        <w:pStyle w:val="Nadpis3"/>
        <w:spacing w:line="240" w:lineRule="auto"/>
      </w:pPr>
      <w:bookmarkStart w:id="21" w:name="_Toc516058305"/>
      <w:r>
        <w:t>P</w:t>
      </w:r>
      <w:r w:rsidR="003E2F83">
        <w:t>.1.</w:t>
      </w:r>
      <w:r w:rsidR="00271D73" w:rsidRPr="005F0699">
        <w:t>1 Ú</w:t>
      </w:r>
      <w:r w:rsidR="008305C8">
        <w:t>zemí</w:t>
      </w:r>
      <w:bookmarkEnd w:id="21"/>
    </w:p>
    <w:p w:rsidR="00F63E3F" w:rsidRPr="007B0DDF" w:rsidRDefault="00F63E3F" w:rsidP="00F63E3F">
      <w:pPr>
        <w:pStyle w:val="Nadpis4"/>
        <w:pBdr>
          <w:top w:val="none" w:sz="0" w:space="0" w:color="auto"/>
          <w:left w:val="none" w:sz="0" w:space="0" w:color="auto"/>
        </w:pBdr>
        <w:shd w:val="clear" w:color="auto" w:fill="372C74"/>
        <w:spacing w:before="0" w:after="200"/>
        <w:ind w:firstLine="0"/>
        <w:rPr>
          <w:color w:val="auto"/>
          <w:spacing w:val="4"/>
          <w:szCs w:val="24"/>
        </w:rPr>
      </w:pPr>
      <w:bookmarkStart w:id="22" w:name="_Toc373141625"/>
      <w:bookmarkStart w:id="23" w:name="_Toc516058306"/>
      <w:r w:rsidRPr="007B0DDF">
        <w:rPr>
          <w:color w:val="auto"/>
          <w:spacing w:val="4"/>
          <w:szCs w:val="24"/>
        </w:rPr>
        <w:t>I. Identifikace řešeného území</w:t>
      </w:r>
      <w:bookmarkEnd w:id="22"/>
      <w:bookmarkEnd w:id="23"/>
    </w:p>
    <w:p w:rsidR="00D82C5F" w:rsidRDefault="00330A36" w:rsidP="00D82C5F">
      <w:pPr>
        <w:rPr>
          <w:rFonts w:asciiTheme="majorHAnsi" w:hAnsiTheme="majorHAnsi"/>
        </w:rPr>
      </w:pPr>
      <w:bookmarkStart w:id="24" w:name="_Toc373141626"/>
      <w:r>
        <w:rPr>
          <w:rFonts w:asciiTheme="majorHAnsi" w:hAnsiTheme="majorHAnsi"/>
        </w:rPr>
        <w:t>M</w:t>
      </w:r>
      <w:r w:rsidR="00D82C5F" w:rsidRPr="00D82C5F">
        <w:rPr>
          <w:rFonts w:asciiTheme="majorHAnsi" w:hAnsiTheme="majorHAnsi"/>
        </w:rPr>
        <w:t xml:space="preserve">ěsto </w:t>
      </w:r>
      <w:r w:rsidR="003168E9">
        <w:rPr>
          <w:rFonts w:asciiTheme="majorHAnsi" w:hAnsiTheme="majorHAnsi"/>
        </w:rPr>
        <w:t>Ostrov</w:t>
      </w:r>
      <w:r w:rsidR="00A16200">
        <w:rPr>
          <w:rFonts w:asciiTheme="majorHAnsi" w:hAnsiTheme="majorHAnsi"/>
        </w:rPr>
        <w:t xml:space="preserve"> </w:t>
      </w:r>
      <w:r>
        <w:rPr>
          <w:rFonts w:asciiTheme="majorHAnsi" w:hAnsiTheme="majorHAnsi"/>
        </w:rPr>
        <w:t>je</w:t>
      </w:r>
      <w:r w:rsidR="00D82C5F" w:rsidRPr="00D82C5F">
        <w:rPr>
          <w:rFonts w:asciiTheme="majorHAnsi" w:hAnsiTheme="majorHAnsi"/>
        </w:rPr>
        <w:t xml:space="preserve"> obec s rozšířenou působností, která se nachází </w:t>
      </w:r>
      <w:r>
        <w:rPr>
          <w:rFonts w:asciiTheme="majorHAnsi" w:hAnsiTheme="majorHAnsi"/>
        </w:rPr>
        <w:t xml:space="preserve">na </w:t>
      </w:r>
      <w:r w:rsidR="003168E9">
        <w:rPr>
          <w:rFonts w:asciiTheme="majorHAnsi" w:hAnsiTheme="majorHAnsi"/>
        </w:rPr>
        <w:t>zápa</w:t>
      </w:r>
      <w:r>
        <w:rPr>
          <w:rFonts w:asciiTheme="majorHAnsi" w:hAnsiTheme="majorHAnsi"/>
        </w:rPr>
        <w:t xml:space="preserve">dě České republiky </w:t>
      </w:r>
      <w:r w:rsidR="00D82C5F" w:rsidRPr="00D82C5F">
        <w:rPr>
          <w:rFonts w:asciiTheme="majorHAnsi" w:hAnsiTheme="majorHAnsi"/>
        </w:rPr>
        <w:t>v</w:t>
      </w:r>
      <w:r w:rsidR="003168E9">
        <w:rPr>
          <w:rFonts w:asciiTheme="majorHAnsi" w:hAnsiTheme="majorHAnsi"/>
        </w:rPr>
        <w:t> Karlovars</w:t>
      </w:r>
      <w:r w:rsidR="00D82C5F" w:rsidRPr="00D82C5F">
        <w:rPr>
          <w:rFonts w:asciiTheme="majorHAnsi" w:hAnsiTheme="majorHAnsi"/>
        </w:rPr>
        <w:t>kém kraji</w:t>
      </w:r>
      <w:r w:rsidR="003168E9">
        <w:rPr>
          <w:rFonts w:asciiTheme="majorHAnsi" w:hAnsiTheme="majorHAnsi"/>
        </w:rPr>
        <w:t xml:space="preserve"> v</w:t>
      </w:r>
      <w:r w:rsidR="00D82C5F" w:rsidRPr="00D82C5F">
        <w:rPr>
          <w:rFonts w:asciiTheme="majorHAnsi" w:hAnsiTheme="majorHAnsi"/>
        </w:rPr>
        <w:t xml:space="preserve"> okresu </w:t>
      </w:r>
      <w:r w:rsidR="003168E9">
        <w:rPr>
          <w:rFonts w:asciiTheme="majorHAnsi" w:hAnsiTheme="majorHAnsi"/>
        </w:rPr>
        <w:t>Karlovy Vary</w:t>
      </w:r>
      <w:r w:rsidR="00D82C5F" w:rsidRPr="00D82C5F">
        <w:rPr>
          <w:rFonts w:asciiTheme="majorHAnsi" w:hAnsiTheme="majorHAnsi"/>
        </w:rPr>
        <w:t xml:space="preserve">. Rozloha katastru města činí 5 </w:t>
      </w:r>
      <w:r w:rsidR="003168E9">
        <w:rPr>
          <w:rFonts w:asciiTheme="majorHAnsi" w:hAnsiTheme="majorHAnsi"/>
        </w:rPr>
        <w:t>041</w:t>
      </w:r>
      <w:r w:rsidR="00D82C5F" w:rsidRPr="00D82C5F">
        <w:rPr>
          <w:rFonts w:asciiTheme="majorHAnsi" w:hAnsiTheme="majorHAnsi"/>
        </w:rPr>
        <w:t xml:space="preserve"> ha. Počet obyvatel města k </w:t>
      </w:r>
      <w:r w:rsidR="003168E9">
        <w:rPr>
          <w:rFonts w:asciiTheme="majorHAnsi" w:hAnsiTheme="majorHAnsi"/>
        </w:rPr>
        <w:t>3</w:t>
      </w:r>
      <w:r w:rsidR="00D82C5F" w:rsidRPr="00D82C5F">
        <w:rPr>
          <w:rFonts w:asciiTheme="majorHAnsi" w:hAnsiTheme="majorHAnsi"/>
        </w:rPr>
        <w:t>1. 1</w:t>
      </w:r>
      <w:r w:rsidR="003168E9">
        <w:rPr>
          <w:rFonts w:asciiTheme="majorHAnsi" w:hAnsiTheme="majorHAnsi"/>
        </w:rPr>
        <w:t>2</w:t>
      </w:r>
      <w:r w:rsidR="00D82C5F" w:rsidRPr="00D82C5F">
        <w:rPr>
          <w:rFonts w:asciiTheme="majorHAnsi" w:hAnsiTheme="majorHAnsi"/>
        </w:rPr>
        <w:t>. 201</w:t>
      </w:r>
      <w:r w:rsidR="003168E9">
        <w:rPr>
          <w:rFonts w:asciiTheme="majorHAnsi" w:hAnsiTheme="majorHAnsi"/>
        </w:rPr>
        <w:t>6</w:t>
      </w:r>
      <w:r w:rsidR="00D82C5F" w:rsidRPr="00D82C5F">
        <w:rPr>
          <w:rFonts w:asciiTheme="majorHAnsi" w:hAnsiTheme="majorHAnsi"/>
        </w:rPr>
        <w:t xml:space="preserve"> činil 16 </w:t>
      </w:r>
      <w:r w:rsidR="003168E9">
        <w:rPr>
          <w:rFonts w:asciiTheme="majorHAnsi" w:hAnsiTheme="majorHAnsi"/>
        </w:rPr>
        <w:t>949</w:t>
      </w:r>
      <w:r w:rsidR="00D82C5F" w:rsidRPr="00D82C5F">
        <w:rPr>
          <w:rFonts w:asciiTheme="majorHAnsi" w:hAnsiTheme="majorHAnsi"/>
        </w:rPr>
        <w:t xml:space="preserve"> obyvatel</w:t>
      </w:r>
      <w:r w:rsidR="00D82C5F" w:rsidRPr="00D82C5F">
        <w:rPr>
          <w:rStyle w:val="Znakapoznpodarou"/>
          <w:rFonts w:asciiTheme="majorHAnsi" w:hAnsiTheme="majorHAnsi"/>
        </w:rPr>
        <w:footnoteReference w:id="1"/>
      </w:r>
      <w:r w:rsidR="00D82C5F" w:rsidRPr="00D82C5F">
        <w:rPr>
          <w:rFonts w:asciiTheme="majorHAnsi" w:hAnsiTheme="majorHAnsi"/>
        </w:rPr>
        <w:t xml:space="preserve">. </w:t>
      </w:r>
    </w:p>
    <w:p w:rsidR="001F472A" w:rsidRDefault="001F472A" w:rsidP="001F472A">
      <w:pPr>
        <w:rPr>
          <w:rFonts w:asciiTheme="majorHAnsi" w:hAnsiTheme="majorHAnsi"/>
          <w:sz w:val="18"/>
          <w:szCs w:val="18"/>
        </w:rPr>
      </w:pPr>
      <w:bookmarkStart w:id="25" w:name="_Toc516058966"/>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w:t>
      </w:r>
      <w:r w:rsidR="005B55A2" w:rsidRPr="00F42013">
        <w:rPr>
          <w:rFonts w:cs="Arial-ItalicMT"/>
          <w:b/>
          <w:bCs/>
          <w:iCs/>
          <w:color w:val="372C74"/>
          <w:spacing w:val="10"/>
          <w:sz w:val="18"/>
          <w:szCs w:val="22"/>
        </w:rPr>
        <w:fldChar w:fldCharType="end"/>
      </w:r>
      <w:r w:rsidRPr="00F42013">
        <w:rPr>
          <w:rFonts w:cs="Arial-ItalicMT"/>
          <w:iCs/>
          <w:sz w:val="18"/>
          <w:szCs w:val="18"/>
        </w:rPr>
        <w:t xml:space="preserve"> - </w:t>
      </w:r>
      <w:r w:rsidRPr="00406306">
        <w:rPr>
          <w:rFonts w:asciiTheme="majorHAnsi" w:hAnsiTheme="majorHAnsi"/>
          <w:sz w:val="18"/>
          <w:szCs w:val="18"/>
        </w:rPr>
        <w:t xml:space="preserve">Zjednodušená mapa </w:t>
      </w:r>
      <w:r>
        <w:rPr>
          <w:rFonts w:asciiTheme="majorHAnsi" w:hAnsiTheme="majorHAnsi"/>
          <w:sz w:val="18"/>
          <w:szCs w:val="18"/>
        </w:rPr>
        <w:t>Ostrova</w:t>
      </w:r>
      <w:r w:rsidRPr="00406306">
        <w:rPr>
          <w:rFonts w:asciiTheme="majorHAnsi" w:hAnsiTheme="majorHAnsi"/>
          <w:sz w:val="18"/>
          <w:szCs w:val="18"/>
        </w:rPr>
        <w:t xml:space="preserve"> (1:50 000)</w:t>
      </w:r>
      <w:r w:rsidRPr="001B2583">
        <w:rPr>
          <w:rFonts w:cs="Arial-ItalicMT"/>
          <w:iCs/>
          <w:szCs w:val="22"/>
          <w:vertAlign w:val="superscript"/>
        </w:rPr>
        <w:footnoteReference w:id="2"/>
      </w:r>
      <w:bookmarkEnd w:id="25"/>
    </w:p>
    <w:p w:rsidR="003F22B8" w:rsidRDefault="003F22B8" w:rsidP="004A56A8">
      <w:pPr>
        <w:spacing w:before="0" w:after="0" w:line="240" w:lineRule="auto"/>
        <w:jc w:val="center"/>
        <w:rPr>
          <w:rFonts w:asciiTheme="majorHAnsi" w:hAnsiTheme="majorHAnsi"/>
        </w:rPr>
      </w:pPr>
      <w:r w:rsidRPr="003F22B8">
        <w:rPr>
          <w:rFonts w:asciiTheme="majorHAnsi" w:hAnsiTheme="majorHAnsi"/>
          <w:noProof/>
          <w:lang w:eastAsia="cs-CZ" w:bidi="ar-SA"/>
        </w:rPr>
        <w:drawing>
          <wp:inline distT="0" distB="0" distL="0" distR="0">
            <wp:extent cx="3631727" cy="2179036"/>
            <wp:effectExtent l="19050" t="0" r="6823" b="0"/>
            <wp:docPr id="81" name="clipImage" descr="https://screenshots.firefoxusercontent.com/images/d6db5bd8-08c3-4ddf-a04a-2e3a17050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Image" descr="https://screenshots.firefoxusercontent.com/images/d6db5bd8-08c3-4ddf-a04a-2e3a17050184.png"/>
                    <pic:cNvPicPr>
                      <a:picLocks noChangeAspect="1" noChangeArrowheads="1"/>
                    </pic:cNvPicPr>
                  </pic:nvPicPr>
                  <pic:blipFill>
                    <a:blip r:embed="rId9"/>
                    <a:srcRect/>
                    <a:stretch>
                      <a:fillRect/>
                    </a:stretch>
                  </pic:blipFill>
                  <pic:spPr bwMode="auto">
                    <a:xfrm>
                      <a:off x="0" y="0"/>
                      <a:ext cx="3635274" cy="2181164"/>
                    </a:xfrm>
                    <a:prstGeom prst="rect">
                      <a:avLst/>
                    </a:prstGeom>
                    <a:noFill/>
                    <a:ln w="9525">
                      <a:noFill/>
                      <a:miter lim="800000"/>
                      <a:headEnd/>
                      <a:tailEnd/>
                    </a:ln>
                  </pic:spPr>
                </pic:pic>
              </a:graphicData>
            </a:graphic>
          </wp:inline>
        </w:drawing>
      </w:r>
    </w:p>
    <w:p w:rsidR="003F22B8" w:rsidRPr="001F472A" w:rsidRDefault="001F472A" w:rsidP="00D82C5F">
      <w:pPr>
        <w:rPr>
          <w:rFonts w:asciiTheme="majorHAnsi" w:hAnsiTheme="majorHAnsi"/>
          <w:sz w:val="18"/>
          <w:szCs w:val="18"/>
        </w:rPr>
      </w:pPr>
      <w:r>
        <w:rPr>
          <w:rFonts w:asciiTheme="majorHAnsi" w:hAnsiTheme="majorHAnsi"/>
          <w:sz w:val="18"/>
          <w:szCs w:val="18"/>
        </w:rPr>
        <w:t xml:space="preserve">Zdroj: </w:t>
      </w:r>
      <w:r w:rsidRPr="004A3E24">
        <w:rPr>
          <w:rFonts w:asciiTheme="majorHAnsi" w:hAnsiTheme="majorHAnsi"/>
          <w:sz w:val="16"/>
          <w:szCs w:val="16"/>
        </w:rPr>
        <w:t>Česká geologická služba: Mapová aplikace</w:t>
      </w:r>
    </w:p>
    <w:p w:rsidR="00D82C5F" w:rsidRPr="00D82C5F" w:rsidRDefault="004A56A8" w:rsidP="00981A61">
      <w:pPr>
        <w:rPr>
          <w:rFonts w:asciiTheme="majorHAnsi" w:hAnsiTheme="majorHAnsi"/>
        </w:rPr>
      </w:pPr>
      <w:r>
        <w:rPr>
          <w:rFonts w:asciiTheme="majorHAnsi" w:hAnsiTheme="majorHAnsi"/>
        </w:rPr>
        <w:t>K m</w:t>
      </w:r>
      <w:r w:rsidR="00B44314">
        <w:rPr>
          <w:rFonts w:asciiTheme="majorHAnsi" w:hAnsiTheme="majorHAnsi"/>
        </w:rPr>
        <w:t>ěst</w:t>
      </w:r>
      <w:r>
        <w:rPr>
          <w:rFonts w:asciiTheme="majorHAnsi" w:hAnsiTheme="majorHAnsi"/>
        </w:rPr>
        <w:t>u</w:t>
      </w:r>
      <w:r w:rsidR="00B44314">
        <w:rPr>
          <w:rFonts w:asciiTheme="majorHAnsi" w:hAnsiTheme="majorHAnsi"/>
        </w:rPr>
        <w:t xml:space="preserve"> </w:t>
      </w:r>
      <w:r w:rsidR="003168E9">
        <w:rPr>
          <w:rFonts w:asciiTheme="majorHAnsi" w:hAnsiTheme="majorHAnsi"/>
        </w:rPr>
        <w:t>Ostrov</w:t>
      </w:r>
      <w:r w:rsidR="000F518A">
        <w:rPr>
          <w:rFonts w:asciiTheme="majorHAnsi" w:hAnsiTheme="majorHAnsi"/>
        </w:rPr>
        <w:t xml:space="preserve"> </w:t>
      </w:r>
      <w:r w:rsidR="00981A61">
        <w:rPr>
          <w:rFonts w:asciiTheme="majorHAnsi" w:hAnsiTheme="majorHAnsi"/>
        </w:rPr>
        <w:t xml:space="preserve">náleží jako místní části vesnice a samoty v okolí: </w:t>
      </w:r>
      <w:r w:rsidR="00981A61" w:rsidRPr="00981A61">
        <w:rPr>
          <w:rFonts w:asciiTheme="majorHAnsi" w:hAnsiTheme="majorHAnsi"/>
        </w:rPr>
        <w:t>Arnoldov</w:t>
      </w:r>
      <w:r w:rsidR="00981A61">
        <w:rPr>
          <w:rFonts w:asciiTheme="majorHAnsi" w:hAnsiTheme="majorHAnsi"/>
        </w:rPr>
        <w:t xml:space="preserve">, </w:t>
      </w:r>
      <w:r w:rsidR="00981A61" w:rsidRPr="00981A61">
        <w:rPr>
          <w:rFonts w:asciiTheme="majorHAnsi" w:hAnsiTheme="majorHAnsi"/>
        </w:rPr>
        <w:t>Dolní Žďár</w:t>
      </w:r>
      <w:r w:rsidR="00981A61">
        <w:rPr>
          <w:rFonts w:asciiTheme="majorHAnsi" w:hAnsiTheme="majorHAnsi"/>
        </w:rPr>
        <w:t>,</w:t>
      </w:r>
      <w:r w:rsidR="00981A61" w:rsidRPr="00981A61">
        <w:rPr>
          <w:rFonts w:asciiTheme="majorHAnsi" w:hAnsiTheme="majorHAnsi"/>
        </w:rPr>
        <w:t xml:space="preserve"> Hanušov</w:t>
      </w:r>
      <w:r w:rsidR="00981A61">
        <w:rPr>
          <w:rFonts w:asciiTheme="majorHAnsi" w:hAnsiTheme="majorHAnsi"/>
        </w:rPr>
        <w:t>,</w:t>
      </w:r>
      <w:r w:rsidR="00981A61" w:rsidRPr="00981A61">
        <w:rPr>
          <w:rFonts w:asciiTheme="majorHAnsi" w:hAnsiTheme="majorHAnsi"/>
        </w:rPr>
        <w:t xml:space="preserve"> Hluboký</w:t>
      </w:r>
      <w:r w:rsidR="00981A61">
        <w:rPr>
          <w:rFonts w:asciiTheme="majorHAnsi" w:hAnsiTheme="majorHAnsi"/>
        </w:rPr>
        <w:t xml:space="preserve">, </w:t>
      </w:r>
      <w:r w:rsidR="00981A61" w:rsidRPr="00981A61">
        <w:rPr>
          <w:rFonts w:asciiTheme="majorHAnsi" w:hAnsiTheme="majorHAnsi"/>
        </w:rPr>
        <w:t>Horní Žďár</w:t>
      </w:r>
      <w:r w:rsidR="00981A61">
        <w:rPr>
          <w:rFonts w:asciiTheme="majorHAnsi" w:hAnsiTheme="majorHAnsi"/>
        </w:rPr>
        <w:t>,</w:t>
      </w:r>
      <w:r w:rsidR="00981A61" w:rsidRPr="00981A61">
        <w:rPr>
          <w:rFonts w:asciiTheme="majorHAnsi" w:hAnsiTheme="majorHAnsi"/>
        </w:rPr>
        <w:t xml:space="preserve"> Kfely</w:t>
      </w:r>
      <w:r w:rsidR="00981A61">
        <w:rPr>
          <w:rFonts w:asciiTheme="majorHAnsi" w:hAnsiTheme="majorHAnsi"/>
        </w:rPr>
        <w:t xml:space="preserve">, </w:t>
      </w:r>
      <w:r w:rsidR="00981A61" w:rsidRPr="00981A61">
        <w:rPr>
          <w:rFonts w:asciiTheme="majorHAnsi" w:hAnsiTheme="majorHAnsi"/>
        </w:rPr>
        <w:t>Květnová</w:t>
      </w:r>
      <w:r w:rsidR="00981A61">
        <w:rPr>
          <w:rFonts w:asciiTheme="majorHAnsi" w:hAnsiTheme="majorHAnsi"/>
        </w:rPr>
        <w:t>,</w:t>
      </w:r>
      <w:r w:rsidR="00981A61" w:rsidRPr="00981A61">
        <w:rPr>
          <w:rFonts w:asciiTheme="majorHAnsi" w:hAnsiTheme="majorHAnsi"/>
        </w:rPr>
        <w:t xml:space="preserve"> Liticov</w:t>
      </w:r>
      <w:r w:rsidR="00981A61">
        <w:rPr>
          <w:rFonts w:asciiTheme="majorHAnsi" w:hAnsiTheme="majorHAnsi"/>
        </w:rPr>
        <w:t xml:space="preserve">, </w:t>
      </w:r>
      <w:r w:rsidR="00981A61" w:rsidRPr="00981A61">
        <w:rPr>
          <w:rFonts w:asciiTheme="majorHAnsi" w:hAnsiTheme="majorHAnsi"/>
        </w:rPr>
        <w:t>Maroltov</w:t>
      </w:r>
      <w:r w:rsidR="00981A61">
        <w:rPr>
          <w:rFonts w:asciiTheme="majorHAnsi" w:hAnsiTheme="majorHAnsi"/>
        </w:rPr>
        <w:t xml:space="preserve">, </w:t>
      </w:r>
      <w:r w:rsidR="00981A61" w:rsidRPr="00981A61">
        <w:rPr>
          <w:rFonts w:asciiTheme="majorHAnsi" w:hAnsiTheme="majorHAnsi"/>
        </w:rPr>
        <w:t>Mořičov</w:t>
      </w:r>
      <w:r w:rsidR="00981A61">
        <w:rPr>
          <w:rFonts w:asciiTheme="majorHAnsi" w:hAnsiTheme="majorHAnsi"/>
        </w:rPr>
        <w:t xml:space="preserve"> a V</w:t>
      </w:r>
      <w:r w:rsidR="00981A61" w:rsidRPr="00981A61">
        <w:rPr>
          <w:rFonts w:asciiTheme="majorHAnsi" w:hAnsiTheme="majorHAnsi"/>
        </w:rPr>
        <w:t>ykmanov</w:t>
      </w:r>
      <w:r w:rsidR="00981A61">
        <w:rPr>
          <w:rFonts w:asciiTheme="majorHAnsi" w:hAnsiTheme="majorHAnsi"/>
        </w:rPr>
        <w:t>.</w:t>
      </w:r>
    </w:p>
    <w:p w:rsidR="00F63E3F" w:rsidRPr="007B0DDF" w:rsidRDefault="00F63E3F" w:rsidP="00F63E3F">
      <w:pPr>
        <w:pStyle w:val="Nadpis4"/>
        <w:pBdr>
          <w:top w:val="none" w:sz="0" w:space="0" w:color="auto"/>
          <w:left w:val="none" w:sz="0" w:space="0" w:color="auto"/>
        </w:pBdr>
        <w:shd w:val="clear" w:color="auto" w:fill="372C74"/>
        <w:spacing w:before="0" w:after="200"/>
        <w:ind w:firstLine="0"/>
        <w:rPr>
          <w:color w:val="auto"/>
          <w:spacing w:val="4"/>
          <w:szCs w:val="24"/>
        </w:rPr>
      </w:pPr>
      <w:bookmarkStart w:id="26" w:name="_Toc516058307"/>
      <w:r w:rsidRPr="007B0DDF">
        <w:rPr>
          <w:color w:val="auto"/>
          <w:spacing w:val="4"/>
          <w:szCs w:val="24"/>
        </w:rPr>
        <w:t>II. Historie</w:t>
      </w:r>
      <w:bookmarkEnd w:id="24"/>
      <w:bookmarkEnd w:id="26"/>
    </w:p>
    <w:p w:rsidR="00FB5D79" w:rsidRDefault="003168E9" w:rsidP="001F472A">
      <w:pPr>
        <w:pStyle w:val="Nadpis6"/>
      </w:pPr>
      <w:bookmarkStart w:id="27" w:name="_Toc373141627"/>
      <w:r w:rsidRPr="001F472A">
        <w:t xml:space="preserve"> </w:t>
      </w:r>
      <w:r w:rsidR="00FB5D79">
        <w:t>Historie města</w:t>
      </w:r>
      <w:r w:rsidR="00332D68">
        <w:rPr>
          <w:rStyle w:val="Znakapoznpodarou"/>
        </w:rPr>
        <w:footnoteReference w:id="3"/>
      </w:r>
    </w:p>
    <w:p w:rsidR="00332D68" w:rsidRPr="00332D68" w:rsidRDefault="00332D68" w:rsidP="00332D68">
      <w:pPr>
        <w:rPr>
          <w:rStyle w:val="Siln"/>
          <w:b w:val="0"/>
        </w:rPr>
      </w:pPr>
      <w:r w:rsidRPr="00332D68">
        <w:rPr>
          <w:rStyle w:val="Siln"/>
          <w:b w:val="0"/>
        </w:rPr>
        <w:t>Nejstarší písemná zmínka o Ostrově (Zlawkowerde) je v listině Přemysla I</w:t>
      </w:r>
      <w:r w:rsidR="00595894">
        <w:rPr>
          <w:rStyle w:val="Siln"/>
          <w:b w:val="0"/>
        </w:rPr>
        <w:t>. z roku 1207, ale o </w:t>
      </w:r>
      <w:r w:rsidRPr="00332D68">
        <w:rPr>
          <w:rStyle w:val="Siln"/>
          <w:b w:val="0"/>
        </w:rPr>
        <w:t xml:space="preserve">pravosti této listiny se pochybuje. V letech 1224 - 1226 vznikla nejstarší a dosud zachovaná </w:t>
      </w:r>
      <w:r w:rsidRPr="00332D68">
        <w:rPr>
          <w:rStyle w:val="Siln"/>
          <w:b w:val="0"/>
        </w:rPr>
        <w:lastRenderedPageBreak/>
        <w:t xml:space="preserve">historická památka města, kostel sv. Jakuba v pozdně románském slohu na dnešním hřbitově. První historicky spolehlivá zmínka o Ostrovu (Slaukowerde) je uvedena </w:t>
      </w:r>
      <w:r w:rsidR="00595894">
        <w:rPr>
          <w:rStyle w:val="Siln"/>
          <w:b w:val="0"/>
        </w:rPr>
        <w:t>v listině Přemysla Otakara I. z </w:t>
      </w:r>
      <w:r w:rsidRPr="00332D68">
        <w:rPr>
          <w:rStyle w:val="Siln"/>
          <w:b w:val="0"/>
        </w:rPr>
        <w:t xml:space="preserve">roku 1226. </w:t>
      </w:r>
    </w:p>
    <w:p w:rsidR="00332D68" w:rsidRPr="00332D68" w:rsidRDefault="00332D68" w:rsidP="00332D68">
      <w:pPr>
        <w:rPr>
          <w:rStyle w:val="Siln"/>
          <w:b w:val="0"/>
        </w:rPr>
      </w:pPr>
      <w:r w:rsidRPr="00332D68">
        <w:rPr>
          <w:rStyle w:val="Siln"/>
          <w:b w:val="0"/>
        </w:rPr>
        <w:t xml:space="preserve">18.srpna 1331 udělil král Jan Lucemburský ostrovským významné privilegium. V této listině se také poprvé uvádí výraz měšťané města Ostrova. V roce 1352 určil Karel IV. kupcům používat cestu do Prahy mimo jiné i přes Ostrov. Důsledkem tohoto rozhodnutí byl další rozvoj města. </w:t>
      </w:r>
    </w:p>
    <w:p w:rsidR="00332D68" w:rsidRPr="00332D68" w:rsidRDefault="00332D68" w:rsidP="00332D68">
      <w:pPr>
        <w:rPr>
          <w:rStyle w:val="Siln"/>
          <w:b w:val="0"/>
        </w:rPr>
      </w:pPr>
      <w:r w:rsidRPr="00332D68">
        <w:rPr>
          <w:rStyle w:val="Siln"/>
          <w:b w:val="0"/>
        </w:rPr>
        <w:t>V roce 1434 zastavil císař Zikmund Kašparu Šlikovi a jeho dědicům město Ostrov a statek Hroznětín. Později Šlikové získali panství do vlastnictví. Šlikové ve městě nechali p</w:t>
      </w:r>
      <w:r w:rsidR="00595894">
        <w:rPr>
          <w:rStyle w:val="Siln"/>
          <w:b w:val="0"/>
        </w:rPr>
        <w:t>ostavit špitál. První zmínka o </w:t>
      </w:r>
      <w:r w:rsidRPr="00332D68">
        <w:rPr>
          <w:rStyle w:val="Siln"/>
          <w:b w:val="0"/>
        </w:rPr>
        <w:t xml:space="preserve">škole je ve zprávě o požáru z roku 1567. V roce 1548 byly v Ostrově cechy koželuhů, ševců, krejčích a další. </w:t>
      </w:r>
    </w:p>
    <w:p w:rsidR="00332D68" w:rsidRPr="00332D68" w:rsidRDefault="00332D68" w:rsidP="00332D68">
      <w:pPr>
        <w:rPr>
          <w:rStyle w:val="Siln"/>
          <w:b w:val="0"/>
        </w:rPr>
      </w:pPr>
      <w:r w:rsidRPr="00332D68">
        <w:rPr>
          <w:rStyle w:val="Siln"/>
          <w:b w:val="0"/>
        </w:rPr>
        <w:t>Koncem 16. století zbohatl Ostrov natolik, že v roce 1603 mohl panství koupit. Rudolf II. propůjčil městu nový znak a udělil mu právo pečetit červeným voskem. Pro účast na povstání bylo Ostrovu panství vyvlastněno a roku 1636 jej trvale získal sasko-lauenburský kníže Julius Jindřich. Za vlády Lauenburků byla vybudována, nebo se alespoň začala budovat většina historických památek dodnes zachovalých. Je to Palác princů, rozsáhlý park, letohrádek, kaple P. Marie Einsiedelské, Bílá brána. Od roku 1689 vládla panství Františka Augusta Sibylla s manželem Ludvíkem Vilémem markrabětem bádenským. Vláda bádenských skončila v roce 1787 Alžbětou Augustou. Koncem 18. století zanikl úplně park.</w:t>
      </w:r>
    </w:p>
    <w:p w:rsidR="00332D68" w:rsidRPr="00332D68" w:rsidRDefault="00332D68" w:rsidP="00332D68">
      <w:pPr>
        <w:rPr>
          <w:rStyle w:val="Siln"/>
          <w:b w:val="0"/>
        </w:rPr>
      </w:pPr>
      <w:r w:rsidRPr="00332D68">
        <w:rPr>
          <w:rStyle w:val="Siln"/>
          <w:b w:val="0"/>
        </w:rPr>
        <w:t xml:space="preserve">V 19. století se ostrovské panství dostalo velkovévodům toskánským. V jejich majetku bylo panství Ostrov se statky Kfely, Dolní Žďár, a Hájek od roku 1811 do roku 1918. V roce 1847 bylo v Ostrově 238 domů a 1276 obyvatel, v roce 1890 262 domů a 2442 obyvatelé. </w:t>
      </w:r>
    </w:p>
    <w:p w:rsidR="00332D68" w:rsidRPr="00332D68" w:rsidRDefault="00332D68" w:rsidP="00332D68">
      <w:pPr>
        <w:rPr>
          <w:rStyle w:val="Siln"/>
          <w:b w:val="0"/>
        </w:rPr>
      </w:pPr>
      <w:r w:rsidRPr="00332D68">
        <w:rPr>
          <w:rStyle w:val="Siln"/>
          <w:b w:val="0"/>
        </w:rPr>
        <w:t>19.</w:t>
      </w:r>
      <w:r w:rsidR="00595894">
        <w:rPr>
          <w:rStyle w:val="Siln"/>
          <w:b w:val="0"/>
        </w:rPr>
        <w:t xml:space="preserve"> </w:t>
      </w:r>
      <w:r w:rsidRPr="00332D68">
        <w:rPr>
          <w:rStyle w:val="Siln"/>
          <w:b w:val="0"/>
        </w:rPr>
        <w:t>století je i v Ostrově ve znamení rozvoje kapitalismu. Živnostenské činnosti přibývalo. V roce 1847 bylo v Ostrově 121 mistrů vykonávajících 36 různých profesí. Mírný úbytek malých dílen lze pozorovat po otevření větších podniků s dokonalejšími stroji.</w:t>
      </w:r>
    </w:p>
    <w:p w:rsidR="00332D68" w:rsidRPr="00332D68" w:rsidRDefault="00332D68" w:rsidP="00332D68">
      <w:pPr>
        <w:rPr>
          <w:rStyle w:val="Siln"/>
          <w:b w:val="0"/>
        </w:rPr>
      </w:pPr>
      <w:r w:rsidRPr="00332D68">
        <w:rPr>
          <w:rStyle w:val="Siln"/>
          <w:b w:val="0"/>
        </w:rPr>
        <w:t>V roce 1806 se začalo vyrábět železo v huti Eleonora. Huť stála v místech dnešního Paposu. První písemná zmínka o této huti je ovšem až z roku 1838. Huť zpracovávala železo z Krušných hor. Surové železo zde bylo zčásti přímo zpracováno, zčásti zpracováno ve strojírnách Reichert v Hroznětíně a v železárně v Horním Žďáru. V roce 1888 huť získal J.E.Kolb, který zde založil brusírnu dřeva. Roku 1897 dal do provozu parní lokomobilu. V roce 1901 byl v této továrně instalován první papírenský stroj. Koncem první světové války byla továrna prodána firmě Teerag.</w:t>
      </w:r>
    </w:p>
    <w:p w:rsidR="00332D68" w:rsidRPr="00332D68" w:rsidRDefault="00332D68" w:rsidP="00332D68">
      <w:pPr>
        <w:rPr>
          <w:rStyle w:val="Siln"/>
          <w:b w:val="0"/>
        </w:rPr>
      </w:pPr>
      <w:r w:rsidRPr="00332D68">
        <w:rPr>
          <w:rStyle w:val="Siln"/>
          <w:b w:val="0"/>
        </w:rPr>
        <w:t xml:space="preserve">V roce 1873 byla založena porcelánka PULS. V krátké době měla tři pece. Později byla rozšířena o čtvrtou pec, velkou malírnu s tiskárnou, skladem zlaceného a bílého porcelánu a pecí pro vypalování kobaltových dekorů. Porcelánka PULS vyráběla moderní a velmi kvalitní porcelán. Většina produkce byla určena pro export. Výrobky byly přijímány do expozic světových výstav. Specialitou ostrovského porcelánu byly bohaté kobaltové dekory, leptané zlacené obruby, figurální porcelán a porcelán hotelový. Porcelánem značky PULS byly vybaveny například Grand  Hotel Pupp, hotel Loib v Karlových Varech, hotel Alcron v Praze, dále hotely Paradies, Bristol, Richmond, Modrá </w:t>
      </w:r>
      <w:r w:rsidRPr="00332D68">
        <w:rPr>
          <w:rStyle w:val="Siln"/>
          <w:b w:val="0"/>
        </w:rPr>
        <w:lastRenderedPageBreak/>
        <w:t>hvězda a mnoho dalších, dokonce i v Simle na úpatí Himalájí. Ostrovský porcelán používali také u královského dvora v Bukurešti a v Haagu a také ve Vatikánu jedli na porcelánu PULS. V posledním desetiletí existence byl provoz značně modernizován. V roce 1945 získali Češi porcelánku i plány na její další rozšiřování a modernizaci, ale žádné z těchto plánů nebyly již realizovány. V letech 1950-51 byl provoz zastaven a moderní malírna byla časem změněna na laboratoř uranových dolů.</w:t>
      </w:r>
    </w:p>
    <w:p w:rsidR="00332D68" w:rsidRPr="00332D68" w:rsidRDefault="00332D68" w:rsidP="00332D68">
      <w:pPr>
        <w:rPr>
          <w:rStyle w:val="Siln"/>
          <w:b w:val="0"/>
        </w:rPr>
      </w:pPr>
      <w:r w:rsidRPr="00332D68">
        <w:rPr>
          <w:rStyle w:val="Siln"/>
          <w:b w:val="0"/>
        </w:rPr>
        <w:t xml:space="preserve">V roce 1852 byla postavena silnice z Ostrova do Klášterce, Kadaně a Teplic. </w:t>
      </w:r>
    </w:p>
    <w:p w:rsidR="00332D68" w:rsidRPr="00332D68" w:rsidRDefault="00332D68" w:rsidP="00332D68">
      <w:pPr>
        <w:rPr>
          <w:rStyle w:val="Siln"/>
          <w:b w:val="0"/>
        </w:rPr>
      </w:pPr>
      <w:r w:rsidRPr="00332D68">
        <w:rPr>
          <w:rStyle w:val="Siln"/>
          <w:b w:val="0"/>
        </w:rPr>
        <w:t xml:space="preserve">Na konci 19. století v Ostrově byla šestitřídní škola, špitál, pošta (poštovní úřad byl zřízen v roce 1837), telegraf, četnická stanice, lékárna, peněžní ústav, tři pivovary, několik mlýnů. Od roku 1871 je v provozu železniční trať z Chomutova přes Ostrov a Karlovy Vary do Chebu. Elektrický proud byl do Ostrova zaveden v roce 1890 a to do porcelánky PULS. </w:t>
      </w:r>
    </w:p>
    <w:p w:rsidR="00332D68" w:rsidRPr="00332D68" w:rsidRDefault="00332D68" w:rsidP="00332D68">
      <w:pPr>
        <w:rPr>
          <w:rStyle w:val="Siln"/>
          <w:b w:val="0"/>
        </w:rPr>
      </w:pPr>
      <w:r w:rsidRPr="00332D68">
        <w:rPr>
          <w:rStyle w:val="Siln"/>
          <w:b w:val="0"/>
        </w:rPr>
        <w:t xml:space="preserve">V roce 1902 bylo slavnostně zahájeno vyučování v měšťanské škole, budované od roku 1897. </w:t>
      </w:r>
    </w:p>
    <w:p w:rsidR="00332D68" w:rsidRPr="00332D68" w:rsidRDefault="00332D68" w:rsidP="00332D68">
      <w:pPr>
        <w:rPr>
          <w:rStyle w:val="Siln"/>
          <w:b w:val="0"/>
        </w:rPr>
      </w:pPr>
      <w:r w:rsidRPr="00332D68">
        <w:rPr>
          <w:rStyle w:val="Siln"/>
          <w:b w:val="0"/>
        </w:rPr>
        <w:t>Výstavba vodovodu začala v roce 1905, práce však musely být přerušeny kvůli válečným událostem.</w:t>
      </w:r>
    </w:p>
    <w:p w:rsidR="00332D68" w:rsidRPr="00332D68" w:rsidRDefault="00332D68" w:rsidP="00332D68">
      <w:pPr>
        <w:rPr>
          <w:rStyle w:val="Siln"/>
          <w:b w:val="0"/>
        </w:rPr>
      </w:pPr>
      <w:r w:rsidRPr="00332D68">
        <w:rPr>
          <w:rStyle w:val="Siln"/>
          <w:b w:val="0"/>
        </w:rPr>
        <w:t>Když v roce 1918 vznikla Československá republika, protestovali němečtí  občané proti začlenění Ostrova a celého Karlovarska a Chebska do  Československé republiky. V roce 1921 se situace stabilizovala.</w:t>
      </w:r>
    </w:p>
    <w:p w:rsidR="00332D68" w:rsidRPr="00332D68" w:rsidRDefault="00332D68" w:rsidP="00332D68">
      <w:pPr>
        <w:rPr>
          <w:rStyle w:val="Siln"/>
          <w:b w:val="0"/>
        </w:rPr>
      </w:pPr>
      <w:r w:rsidRPr="00332D68">
        <w:rPr>
          <w:rStyle w:val="Siln"/>
          <w:b w:val="0"/>
        </w:rPr>
        <w:t>V dubnu 1920 byla v Ostrově zřízena městská knihovna. V roce 1928 zahájila činnost česká knihovna.</w:t>
      </w:r>
    </w:p>
    <w:p w:rsidR="00332D68" w:rsidRPr="00332D68" w:rsidRDefault="00332D68" w:rsidP="00332D68">
      <w:pPr>
        <w:rPr>
          <w:rStyle w:val="Siln"/>
          <w:b w:val="0"/>
        </w:rPr>
      </w:pPr>
      <w:r w:rsidRPr="00332D68">
        <w:rPr>
          <w:rStyle w:val="Siln"/>
          <w:b w:val="0"/>
        </w:rPr>
        <w:t>28. dubna 1920 byl ustaven v Teplicích základ spolku německých samosprávných sdružení v ČSR, kde byl zastoupen i Ostrov svým starostou.</w:t>
      </w:r>
    </w:p>
    <w:p w:rsidR="00332D68" w:rsidRPr="00332D68" w:rsidRDefault="00332D68" w:rsidP="00332D68">
      <w:pPr>
        <w:rPr>
          <w:rStyle w:val="Siln"/>
          <w:b w:val="0"/>
        </w:rPr>
      </w:pPr>
      <w:r w:rsidRPr="00332D68">
        <w:rPr>
          <w:rStyle w:val="Siln"/>
          <w:b w:val="0"/>
        </w:rPr>
        <w:t>V roce 1926 byla otevřena první česká škola. Byla to mateřská škola a dvě třídy obecné školy. Prvním českým učitelem byl Bohumil Přibyl, který byl zároveň důvěrníkem Národní jednoty severočeské. V tomtéž roce byl v Ostrově založen Sokol.</w:t>
      </w:r>
    </w:p>
    <w:p w:rsidR="00332D68" w:rsidRPr="00332D68" w:rsidRDefault="00332D68" w:rsidP="00332D68">
      <w:pPr>
        <w:rPr>
          <w:rStyle w:val="Siln"/>
          <w:b w:val="0"/>
        </w:rPr>
      </w:pPr>
      <w:r w:rsidRPr="00332D68">
        <w:rPr>
          <w:rStyle w:val="Siln"/>
          <w:b w:val="0"/>
        </w:rPr>
        <w:t>V roce 1933 probíhalo hledání nového zdroje pitné vody. S určitostí byl označen dobrý pramen na štole u Horního Žďáru.</w:t>
      </w:r>
    </w:p>
    <w:p w:rsidR="00332D68" w:rsidRPr="00332D68" w:rsidRDefault="00332D68" w:rsidP="00332D68">
      <w:pPr>
        <w:rPr>
          <w:rStyle w:val="Siln"/>
          <w:b w:val="0"/>
        </w:rPr>
      </w:pPr>
      <w:r w:rsidRPr="00332D68">
        <w:rPr>
          <w:rStyle w:val="Siln"/>
          <w:b w:val="0"/>
        </w:rPr>
        <w:t>V Hluboké byl zpřístupněn pramen radioaktivní vody. Až 30 lidí denně si odtud odnášelo radioaktivní vodu a půdu. Radiolog dr. Josef Stoklasa z Prahy pramen posoudil velice příznivě. 27.11.1933 byly v Ostrově otevřeny lázně. Moderní lázeňský dům stál za dnešní poliklinikou. Lázeňský dům buď neodolal konkurenci Jáchymovských lázní, nebo se tak stalo na zásah státních lázní, ale byl opět zanedlouho uzavřen.</w:t>
      </w:r>
    </w:p>
    <w:p w:rsidR="00332D68" w:rsidRPr="00332D68" w:rsidRDefault="00332D68" w:rsidP="00332D68">
      <w:pPr>
        <w:rPr>
          <w:rStyle w:val="Siln"/>
          <w:b w:val="0"/>
        </w:rPr>
      </w:pPr>
      <w:r w:rsidRPr="00332D68">
        <w:rPr>
          <w:rStyle w:val="Siln"/>
          <w:b w:val="0"/>
        </w:rPr>
        <w:t xml:space="preserve">V roce 1933 byly v </w:t>
      </w:r>
      <w:r w:rsidR="00595894">
        <w:rPr>
          <w:rStyle w:val="Siln"/>
          <w:b w:val="0"/>
        </w:rPr>
        <w:t>O</w:t>
      </w:r>
      <w:r w:rsidRPr="00332D68">
        <w:rPr>
          <w:rStyle w:val="Siln"/>
          <w:b w:val="0"/>
        </w:rPr>
        <w:t>strově nově pojmenovány ulice. Například dnešní náměstí U brány dostalo jméno Lauenburské náměstí. Dále zde byly ulice Piaristů, Goethova a další.</w:t>
      </w:r>
    </w:p>
    <w:p w:rsidR="00332D68" w:rsidRPr="00332D68" w:rsidRDefault="00332D68" w:rsidP="00332D68">
      <w:pPr>
        <w:rPr>
          <w:rStyle w:val="Siln"/>
          <w:b w:val="0"/>
        </w:rPr>
      </w:pPr>
      <w:r w:rsidRPr="00332D68">
        <w:rPr>
          <w:rStyle w:val="Siln"/>
          <w:b w:val="0"/>
        </w:rPr>
        <w:t>V letních měsících roku 1938 odjela z Ostrova většina českých rodin a už se nevrátila. 5.října obsadila Ostrov německá armáda. Později vznikl v ostrovském zámku první koncentrační tábor v Čechách. V budově dnešní zvláštní školy byl tzv. útulek pro asi 500 zavlečených dětí.</w:t>
      </w:r>
    </w:p>
    <w:p w:rsidR="00332D68" w:rsidRPr="00332D68" w:rsidRDefault="00332D68" w:rsidP="00332D68">
      <w:pPr>
        <w:rPr>
          <w:rStyle w:val="Siln"/>
          <w:b w:val="0"/>
        </w:rPr>
      </w:pPr>
      <w:r w:rsidRPr="00332D68">
        <w:rPr>
          <w:rStyle w:val="Siln"/>
          <w:b w:val="0"/>
        </w:rPr>
        <w:lastRenderedPageBreak/>
        <w:t>Po skončení války byly z Ostrova odsunuti Němci a začalo dosídlování pohraničí.</w:t>
      </w:r>
      <w:r w:rsidR="00595894">
        <w:rPr>
          <w:rStyle w:val="Siln"/>
          <w:b w:val="0"/>
        </w:rPr>
        <w:t xml:space="preserve"> </w:t>
      </w:r>
      <w:r w:rsidRPr="00332D68">
        <w:rPr>
          <w:rStyle w:val="Siln"/>
          <w:b w:val="0"/>
        </w:rPr>
        <w:t>V roce 1948 přijala tehdejší vláda usnesení, podle kterého se mělo v O</w:t>
      </w:r>
      <w:r w:rsidR="00595894">
        <w:rPr>
          <w:rStyle w:val="Siln"/>
          <w:b w:val="0"/>
        </w:rPr>
        <w:t>strově postavit sídliště pro 15 </w:t>
      </w:r>
      <w:r w:rsidRPr="00332D68">
        <w:rPr>
          <w:rStyle w:val="Siln"/>
          <w:b w:val="0"/>
        </w:rPr>
        <w:t xml:space="preserve">000 horníků Jáchymovských dolů a jejich rodiny. Tak se začalo s budováním „socialistického města“. </w:t>
      </w:r>
    </w:p>
    <w:p w:rsidR="00332D68" w:rsidRPr="00332D68" w:rsidRDefault="00332D68" w:rsidP="00332D68">
      <w:pPr>
        <w:rPr>
          <w:rStyle w:val="Siln"/>
          <w:b w:val="0"/>
        </w:rPr>
      </w:pPr>
      <w:r w:rsidRPr="00332D68">
        <w:rPr>
          <w:rStyle w:val="Siln"/>
          <w:b w:val="0"/>
        </w:rPr>
        <w:t>V době existence n.</w:t>
      </w:r>
      <w:r w:rsidR="00595894">
        <w:rPr>
          <w:rStyle w:val="Siln"/>
          <w:b w:val="0"/>
        </w:rPr>
        <w:t xml:space="preserve"> </w:t>
      </w:r>
      <w:r w:rsidRPr="00332D68">
        <w:rPr>
          <w:rStyle w:val="Siln"/>
          <w:b w:val="0"/>
        </w:rPr>
        <w:t>p. Jáchymovské doly byly všechny závody v Ostrově jejich zařízeními.</w:t>
      </w:r>
      <w:r w:rsidR="00595894">
        <w:rPr>
          <w:rStyle w:val="Siln"/>
          <w:b w:val="0"/>
        </w:rPr>
        <w:t xml:space="preserve"> </w:t>
      </w:r>
      <w:r w:rsidRPr="00332D68">
        <w:rPr>
          <w:rStyle w:val="Siln"/>
          <w:b w:val="0"/>
        </w:rPr>
        <w:t>Ostrovský závod Škoda byl založen v roce 1959.</w:t>
      </w:r>
    </w:p>
    <w:p w:rsidR="00FB5D79" w:rsidRPr="00332D68" w:rsidRDefault="00332D68" w:rsidP="00332D68">
      <w:r w:rsidRPr="00332D68">
        <w:rPr>
          <w:rStyle w:val="Siln"/>
          <w:b w:val="0"/>
        </w:rPr>
        <w:t>K Ostrovu byly postupně připojeny okolní obce. Horní a Dolní Žďár v roce 1960, Mořičov v roce 1966, Kfely a Hluboký v roce 1975, Květnová a Maroltov v roce 1976. Krásný les, Damice a Horní Hrad se připojily rovněž v roce 1976, v roce 1992 se však opět osamostatnily.</w:t>
      </w:r>
    </w:p>
    <w:p w:rsidR="00FB5D79" w:rsidRDefault="00FB5D79" w:rsidP="001F472A">
      <w:pPr>
        <w:pStyle w:val="Nadpis6"/>
      </w:pPr>
      <w:r>
        <w:t>Zajímavosti města</w:t>
      </w:r>
    </w:p>
    <w:p w:rsidR="00FB5D79" w:rsidRDefault="008F77DF" w:rsidP="001B4599">
      <w:r>
        <w:t xml:space="preserve">Město Ostrov je velmi bohaté na kulturně historické památky. </w:t>
      </w:r>
      <w:r w:rsidR="00FB5D79">
        <w:t xml:space="preserve">Mezi nejzajímavější památky města patří rozsáhlý </w:t>
      </w:r>
      <w:r w:rsidR="00FB5D79">
        <w:rPr>
          <w:rStyle w:val="Siln"/>
        </w:rPr>
        <w:t>barokní zámecký areál</w:t>
      </w:r>
      <w:r w:rsidR="00FB5D79">
        <w:t xml:space="preserve"> se </w:t>
      </w:r>
      <w:r w:rsidR="00FB5D79">
        <w:rPr>
          <w:rStyle w:val="Siln"/>
        </w:rPr>
        <w:t>zámeckým parkem</w:t>
      </w:r>
      <w:r w:rsidR="00FB5D79">
        <w:t xml:space="preserve">. Podoba zahrady se vyvíjela </w:t>
      </w:r>
      <w:r w:rsidR="00FB5D79">
        <w:rPr>
          <w:rStyle w:val="Siln"/>
        </w:rPr>
        <w:t>v průběhu 17. až 19. století</w:t>
      </w:r>
      <w:r w:rsidR="00FB5D79">
        <w:t xml:space="preserve">. Park, založený v duchu italských renesančních zahrad, byl postupně dotvářen barokními kompozicemi s fontánami, jezírky a umělými skalisky, gloriety a altány, bludišti a bohatou uměleckou výzdobou v podobě soch antických božstev. Uprostřed zahrady stál letohrádek, dále zde byla jízdárna či voliéra s exotickým zvířectvem. Ve své době byl park nazýván </w:t>
      </w:r>
      <w:r w:rsidR="00FB5D79">
        <w:rPr>
          <w:rStyle w:val="Siln"/>
        </w:rPr>
        <w:t>osmým divem světa</w:t>
      </w:r>
      <w:r w:rsidR="00FB5D79">
        <w:t>.</w:t>
      </w:r>
    </w:p>
    <w:p w:rsidR="008F77DF" w:rsidRDefault="008F77DF" w:rsidP="008F77DF">
      <w:r>
        <w:t>Velká část historických objektů v Ostrově je památkově chráněna.</w:t>
      </w:r>
      <w:r w:rsidR="005F0D3B">
        <w:t xml:space="preserve"> </w:t>
      </w:r>
      <w:r w:rsidR="005F0D3B" w:rsidRPr="005F0D3B">
        <w:t>Historické jádro je městskou památkovou zónou.</w:t>
      </w:r>
    </w:p>
    <w:p w:rsidR="00933322" w:rsidRDefault="00981A61" w:rsidP="008F77DF">
      <w:r>
        <w:t>Protože se m</w:t>
      </w:r>
      <w:r w:rsidR="00933322">
        <w:t>ěsto Ostrov rozkládá v údolí mezi Krušnými a Doupovskými horami</w:t>
      </w:r>
      <w:r>
        <w:t>,</w:t>
      </w:r>
      <w:r w:rsidR="00933322">
        <w:t xml:space="preserve"> </w:t>
      </w:r>
      <w:r>
        <w:t>tak</w:t>
      </w:r>
      <w:r w:rsidR="00933322">
        <w:t xml:space="preserve"> je </w:t>
      </w:r>
      <w:r>
        <w:t>často</w:t>
      </w:r>
      <w:r w:rsidR="00933322">
        <w:t xml:space="preserve"> výchozím bodem turistických tras za přírodními zajímavostmi</w:t>
      </w:r>
      <w:r>
        <w:t xml:space="preserve"> regionu</w:t>
      </w:r>
      <w:r w:rsidR="00933322">
        <w:t xml:space="preserve">. Severovýchodním směrem např. dojdeme k zřícenině Horního hradu. V okolí města je vybudovaná celá řada rybníků a od východního a jižního okraje města se rozprostírá les. </w:t>
      </w:r>
    </w:p>
    <w:p w:rsidR="00933322" w:rsidRDefault="00933322" w:rsidP="008F77DF">
      <w:r>
        <w:t xml:space="preserve">Ve městě se křižují značené cyklistické trasy a prochází tudy dálková trasa Euroregio Egrensis. </w:t>
      </w:r>
    </w:p>
    <w:p w:rsidR="00933322" w:rsidRDefault="00933322" w:rsidP="008F77DF"/>
    <w:p w:rsidR="00933322" w:rsidRDefault="00933322" w:rsidP="008F77DF"/>
    <w:p w:rsidR="00066312" w:rsidRDefault="00066312">
      <w:pPr>
        <w:spacing w:before="0" w:after="0" w:line="240" w:lineRule="auto"/>
        <w:jc w:val="left"/>
        <w:rPr>
          <w:sz w:val="24"/>
          <w:szCs w:val="24"/>
        </w:rPr>
      </w:pPr>
      <w:r>
        <w:rPr>
          <w:szCs w:val="24"/>
        </w:rPr>
        <w:br w:type="page"/>
      </w:r>
    </w:p>
    <w:p w:rsidR="00F63E3F" w:rsidRPr="007B0DDF" w:rsidRDefault="00F63E3F" w:rsidP="00F63E3F">
      <w:pPr>
        <w:pStyle w:val="Nadpis4"/>
        <w:pBdr>
          <w:top w:val="none" w:sz="0" w:space="0" w:color="auto"/>
          <w:left w:val="none" w:sz="0" w:space="0" w:color="auto"/>
        </w:pBdr>
        <w:shd w:val="clear" w:color="auto" w:fill="372C74"/>
        <w:spacing w:before="0" w:after="200"/>
        <w:ind w:firstLine="0"/>
        <w:rPr>
          <w:color w:val="auto"/>
          <w:spacing w:val="4"/>
          <w:szCs w:val="24"/>
        </w:rPr>
      </w:pPr>
      <w:bookmarkStart w:id="28" w:name="_Toc516058308"/>
      <w:r w:rsidRPr="007B0DDF">
        <w:rPr>
          <w:color w:val="auto"/>
          <w:spacing w:val="4"/>
          <w:szCs w:val="24"/>
        </w:rPr>
        <w:lastRenderedPageBreak/>
        <w:t>III.  Přírodní poměry</w:t>
      </w:r>
      <w:bookmarkEnd w:id="27"/>
      <w:bookmarkEnd w:id="28"/>
    </w:p>
    <w:p w:rsidR="00062218" w:rsidRPr="007026C2" w:rsidRDefault="00062218" w:rsidP="00062218">
      <w:pPr>
        <w:pStyle w:val="Nadpis6"/>
        <w:rPr>
          <w:color w:val="auto"/>
        </w:rPr>
      </w:pPr>
      <w:bookmarkStart w:id="29" w:name="_Toc358188062"/>
      <w:bookmarkStart w:id="30" w:name="_Toc373141628"/>
      <w:r w:rsidRPr="007026C2">
        <w:rPr>
          <w:color w:val="auto"/>
        </w:rPr>
        <w:t>Základní</w:t>
      </w:r>
      <w:r>
        <w:rPr>
          <w:color w:val="auto"/>
        </w:rPr>
        <w:t xml:space="preserve"> geografické charakteristiky, g</w:t>
      </w:r>
      <w:r w:rsidRPr="007026C2">
        <w:rPr>
          <w:color w:val="auto"/>
        </w:rPr>
        <w:t>eologie a geomorfologie</w:t>
      </w:r>
      <w:bookmarkEnd w:id="29"/>
      <w:r w:rsidRPr="007026C2">
        <w:rPr>
          <w:color w:val="auto"/>
        </w:rPr>
        <w:t xml:space="preserve"> </w:t>
      </w:r>
    </w:p>
    <w:p w:rsidR="00062218" w:rsidRDefault="00062218" w:rsidP="00062218">
      <w:r w:rsidRPr="007026C2">
        <w:t>Území města Ostrova náleží ke geomorfologické provincii Česká Vysočina. Ta se zde dělí na tyto obl</w:t>
      </w:r>
      <w:r>
        <w:t>a</w:t>
      </w:r>
      <w:r w:rsidRPr="007026C2">
        <w:t>sti, celky, podcelky a okrsky:</w:t>
      </w:r>
    </w:p>
    <w:p w:rsidR="00062218" w:rsidRPr="007026C2" w:rsidRDefault="00062218" w:rsidP="006164A0">
      <w:pPr>
        <w:pStyle w:val="Odstavecseseznamem"/>
        <w:numPr>
          <w:ilvl w:val="0"/>
          <w:numId w:val="4"/>
        </w:numPr>
      </w:pPr>
      <w:r w:rsidRPr="007026C2">
        <w:t>Geomorfologická oblast: Krušnohorská hornatina</w:t>
      </w:r>
    </w:p>
    <w:p w:rsidR="00062218" w:rsidRPr="007026C2" w:rsidRDefault="00062218" w:rsidP="006164A0">
      <w:pPr>
        <w:pStyle w:val="Odstavecseseznamem"/>
        <w:numPr>
          <w:ilvl w:val="1"/>
          <w:numId w:val="4"/>
        </w:numPr>
      </w:pPr>
      <w:r w:rsidRPr="007026C2">
        <w:t>Celek: Krušné hory</w:t>
      </w:r>
    </w:p>
    <w:p w:rsidR="00062218" w:rsidRPr="007026C2" w:rsidRDefault="00062218" w:rsidP="006164A0">
      <w:pPr>
        <w:pStyle w:val="Odstavecseseznamem"/>
        <w:numPr>
          <w:ilvl w:val="2"/>
          <w:numId w:val="4"/>
        </w:numPr>
      </w:pPr>
      <w:r w:rsidRPr="007026C2">
        <w:t>Podcelek: Klínovecká hornatina</w:t>
      </w:r>
    </w:p>
    <w:p w:rsidR="00062218" w:rsidRPr="007026C2" w:rsidRDefault="00062218" w:rsidP="006164A0">
      <w:pPr>
        <w:pStyle w:val="Odstavecseseznamem"/>
        <w:numPr>
          <w:ilvl w:val="3"/>
          <w:numId w:val="4"/>
        </w:numPr>
      </w:pPr>
      <w:r w:rsidRPr="007026C2">
        <w:t>Okrsek: Jáchymovská hornatina</w:t>
      </w:r>
    </w:p>
    <w:p w:rsidR="00062218" w:rsidRPr="007026C2" w:rsidRDefault="00062218" w:rsidP="006164A0">
      <w:pPr>
        <w:pStyle w:val="Odstavecseseznamem"/>
        <w:numPr>
          <w:ilvl w:val="0"/>
          <w:numId w:val="4"/>
        </w:numPr>
      </w:pPr>
      <w:r w:rsidRPr="007026C2">
        <w:t>Geomorfologická oblast: Podkrušnohorská oblast</w:t>
      </w:r>
    </w:p>
    <w:p w:rsidR="00062218" w:rsidRPr="007026C2" w:rsidRDefault="00062218" w:rsidP="006164A0">
      <w:pPr>
        <w:pStyle w:val="Odstavecseseznamem"/>
        <w:numPr>
          <w:ilvl w:val="1"/>
          <w:numId w:val="4"/>
        </w:numPr>
      </w:pPr>
      <w:r w:rsidRPr="007026C2">
        <w:t>Celky: Sokolovská pánev, Doupovské hory</w:t>
      </w:r>
    </w:p>
    <w:p w:rsidR="00062218" w:rsidRPr="007026C2" w:rsidRDefault="00062218" w:rsidP="006164A0">
      <w:pPr>
        <w:pStyle w:val="Odstavecseseznamem"/>
        <w:numPr>
          <w:ilvl w:val="2"/>
          <w:numId w:val="4"/>
        </w:numPr>
      </w:pPr>
      <w:r w:rsidRPr="007026C2">
        <w:t>Podcelky: Sokolovská pánev, Doupovské hory</w:t>
      </w:r>
    </w:p>
    <w:p w:rsidR="00062218" w:rsidRDefault="00062218" w:rsidP="006164A0">
      <w:pPr>
        <w:pStyle w:val="Odstavecseseznamem"/>
        <w:numPr>
          <w:ilvl w:val="3"/>
          <w:numId w:val="4"/>
        </w:numPr>
      </w:pPr>
      <w:r w:rsidRPr="007026C2">
        <w:t>Okrsky: Ostrovská pánev, Jehličenská hornatina</w:t>
      </w:r>
    </w:p>
    <w:p w:rsidR="00066312" w:rsidRDefault="00066312" w:rsidP="00066312">
      <w:r w:rsidRPr="007026C2">
        <w:t>Území je výškově velmi členité. Nejvyšším bodem na území města je vrch Hlaváč s nadmořskou výškou 908 m. n. m., nejnižším místo je nad ústím řeky Bystřice do Ohře – 340-350 m. n. m.</w:t>
      </w:r>
    </w:p>
    <w:p w:rsidR="00066312" w:rsidRPr="00066312" w:rsidRDefault="00D36E9C" w:rsidP="00066312">
      <w:pPr>
        <w:jc w:val="left"/>
        <w:rPr>
          <w:sz w:val="18"/>
          <w:szCs w:val="18"/>
        </w:rPr>
      </w:pPr>
      <w:bookmarkStart w:id="31" w:name="_Toc516058967"/>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066312" w:rsidRPr="00066312">
        <w:rPr>
          <w:rFonts w:cs="Arial-ItalicMT"/>
          <w:iCs/>
          <w:sz w:val="18"/>
          <w:szCs w:val="18"/>
        </w:rPr>
        <w:t xml:space="preserve">– </w:t>
      </w:r>
      <w:r w:rsidR="00066312" w:rsidRPr="00066312">
        <w:rPr>
          <w:sz w:val="18"/>
          <w:szCs w:val="18"/>
        </w:rPr>
        <w:t>Horninové prostředí města Ostrov</w:t>
      </w:r>
      <w:bookmarkEnd w:id="31"/>
    </w:p>
    <w:p w:rsidR="00066312" w:rsidRPr="007026C2" w:rsidRDefault="00066312" w:rsidP="00066312">
      <w:r>
        <w:rPr>
          <w:noProof/>
          <w:lang w:eastAsia="cs-CZ" w:bidi="ar-SA"/>
        </w:rPr>
        <w:drawing>
          <wp:anchor distT="0" distB="0" distL="114300" distR="114300" simplePos="0" relativeHeight="251678720" behindDoc="0" locked="0" layoutInCell="1" allowOverlap="1">
            <wp:simplePos x="0" y="0"/>
            <wp:positionH relativeFrom="column">
              <wp:posOffset>19685</wp:posOffset>
            </wp:positionH>
            <wp:positionV relativeFrom="paragraph">
              <wp:posOffset>61595</wp:posOffset>
            </wp:positionV>
            <wp:extent cx="3617595" cy="4347210"/>
            <wp:effectExtent l="19050" t="0" r="1905" b="0"/>
            <wp:wrapSquare wrapText="bothSides"/>
            <wp:docPr id="2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3617595" cy="4347210"/>
                    </a:xfrm>
                    <a:prstGeom prst="rect">
                      <a:avLst/>
                    </a:prstGeom>
                    <a:noFill/>
                    <a:ln w="9525">
                      <a:noFill/>
                      <a:miter lim="800000"/>
                      <a:headEnd/>
                      <a:tailEnd/>
                    </a:ln>
                  </pic:spPr>
                </pic:pic>
              </a:graphicData>
            </a:graphic>
          </wp:anchor>
        </w:drawing>
      </w:r>
      <w:r w:rsidRPr="007026C2">
        <w:t>Na území města Ostrova se nenachází žádná sesuvná území a ani žádná ložiska nerostných surovin, chráněná ložisková území a dobývací prostory.</w:t>
      </w:r>
    </w:p>
    <w:p w:rsidR="00066312" w:rsidRDefault="00066312" w:rsidP="00066312">
      <w:r w:rsidRPr="007026C2">
        <w:t>Vyskytuje se zde naopak – především v severní části území – řada pozůstatků po těžbě nerostných surovin – poddolovaná území, haldy a odvaly a stará důlní díla. Jedná se především o části města Horní Žďár, Arnoldov a Hanušov. Lokality se nacházejí většinou mimo zástavbu.</w:t>
      </w:r>
    </w:p>
    <w:p w:rsidR="00066312" w:rsidRDefault="00066312" w:rsidP="00062218">
      <w:pPr>
        <w:spacing w:before="0" w:after="120"/>
        <w:rPr>
          <w:sz w:val="16"/>
          <w:szCs w:val="16"/>
        </w:rPr>
      </w:pPr>
    </w:p>
    <w:p w:rsidR="00066312" w:rsidRDefault="00066312" w:rsidP="00062218">
      <w:pPr>
        <w:spacing w:before="0" w:after="120"/>
        <w:rPr>
          <w:sz w:val="16"/>
          <w:szCs w:val="16"/>
        </w:rPr>
      </w:pPr>
    </w:p>
    <w:p w:rsidR="00066312" w:rsidRDefault="00066312" w:rsidP="00062218">
      <w:pPr>
        <w:spacing w:before="0" w:after="120"/>
        <w:rPr>
          <w:sz w:val="16"/>
          <w:szCs w:val="16"/>
        </w:rPr>
      </w:pPr>
    </w:p>
    <w:p w:rsidR="00066312" w:rsidRDefault="00066312" w:rsidP="00062218">
      <w:pPr>
        <w:spacing w:before="0" w:after="120"/>
        <w:rPr>
          <w:sz w:val="16"/>
          <w:szCs w:val="16"/>
        </w:rPr>
      </w:pPr>
    </w:p>
    <w:p w:rsidR="00066312" w:rsidRDefault="00066312" w:rsidP="00066312">
      <w:pPr>
        <w:spacing w:before="0" w:after="0"/>
        <w:rPr>
          <w:sz w:val="16"/>
          <w:szCs w:val="16"/>
        </w:rPr>
      </w:pPr>
    </w:p>
    <w:p w:rsidR="00066312" w:rsidRDefault="00066312" w:rsidP="00066312">
      <w:pPr>
        <w:spacing w:before="0" w:after="0"/>
        <w:rPr>
          <w:sz w:val="16"/>
          <w:szCs w:val="16"/>
        </w:rPr>
      </w:pPr>
    </w:p>
    <w:p w:rsidR="00062218" w:rsidRPr="00416578" w:rsidRDefault="00062218" w:rsidP="00066312">
      <w:pPr>
        <w:spacing w:before="0" w:after="0"/>
        <w:rPr>
          <w:sz w:val="16"/>
          <w:szCs w:val="16"/>
        </w:rPr>
      </w:pPr>
      <w:r w:rsidRPr="00416578">
        <w:rPr>
          <w:sz w:val="16"/>
          <w:szCs w:val="16"/>
        </w:rPr>
        <w:t>Zdroj: Data ÚAP</w:t>
      </w:r>
    </w:p>
    <w:p w:rsidR="00062218" w:rsidRPr="004C4B36" w:rsidRDefault="00062218" w:rsidP="00062218">
      <w:pPr>
        <w:pStyle w:val="Nadpis6"/>
        <w:rPr>
          <w:color w:val="auto"/>
        </w:rPr>
      </w:pPr>
      <w:r w:rsidRPr="004C4B36">
        <w:rPr>
          <w:color w:val="auto"/>
        </w:rPr>
        <w:lastRenderedPageBreak/>
        <w:t>Podnebí</w:t>
      </w:r>
    </w:p>
    <w:p w:rsidR="00066312" w:rsidRPr="004C4B36" w:rsidRDefault="00D36E9C" w:rsidP="00B644E0">
      <w:pPr>
        <w:spacing w:after="0"/>
        <w:rPr>
          <w:sz w:val="18"/>
          <w:szCs w:val="18"/>
        </w:rPr>
      </w:pPr>
      <w:bookmarkStart w:id="32" w:name="_Toc516058968"/>
      <w:bookmarkStart w:id="33" w:name="_Toc180668379"/>
      <w:bookmarkStart w:id="34" w:name="_Toc180733241"/>
      <w:bookmarkStart w:id="35" w:name="_Toc358188063"/>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066312" w:rsidRPr="004C4B36">
        <w:rPr>
          <w:rFonts w:cs="Arial-ItalicMT"/>
          <w:iCs/>
          <w:sz w:val="18"/>
          <w:szCs w:val="18"/>
        </w:rPr>
        <w:t xml:space="preserve">– </w:t>
      </w:r>
      <w:r w:rsidR="00066312" w:rsidRPr="004C4B36">
        <w:rPr>
          <w:sz w:val="18"/>
          <w:szCs w:val="18"/>
        </w:rPr>
        <w:t>Klimatické oblasti</w:t>
      </w:r>
      <w:r w:rsidR="00066312" w:rsidRPr="004C4B36">
        <w:rPr>
          <w:rStyle w:val="Znakapoznpodarou"/>
          <w:sz w:val="18"/>
          <w:szCs w:val="18"/>
        </w:rPr>
        <w:footnoteReference w:id="4"/>
      </w:r>
      <w:bookmarkEnd w:id="32"/>
    </w:p>
    <w:p w:rsidR="00062218" w:rsidRPr="00B644E0" w:rsidRDefault="00066312" w:rsidP="00B644E0">
      <w:pPr>
        <w:spacing w:before="0" w:after="120"/>
      </w:pPr>
      <w:r>
        <w:rPr>
          <w:noProof/>
          <w:lang w:eastAsia="cs-CZ" w:bidi="ar-SA"/>
        </w:rPr>
        <w:drawing>
          <wp:anchor distT="0" distB="0" distL="114300" distR="114300" simplePos="0" relativeHeight="251679744" behindDoc="0" locked="0" layoutInCell="1" allowOverlap="1">
            <wp:simplePos x="0" y="0"/>
            <wp:positionH relativeFrom="column">
              <wp:posOffset>-20955</wp:posOffset>
            </wp:positionH>
            <wp:positionV relativeFrom="paragraph">
              <wp:posOffset>84455</wp:posOffset>
            </wp:positionV>
            <wp:extent cx="2407285" cy="2694940"/>
            <wp:effectExtent l="19050" t="0" r="0" b="0"/>
            <wp:wrapSquare wrapText="bothSides"/>
            <wp:docPr id="2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11"/>
                    <a:srcRect/>
                    <a:stretch>
                      <a:fillRect/>
                    </a:stretch>
                  </pic:blipFill>
                  <pic:spPr bwMode="auto">
                    <a:xfrm>
                      <a:off x="0" y="0"/>
                      <a:ext cx="2407285" cy="2694940"/>
                    </a:xfrm>
                    <a:prstGeom prst="rect">
                      <a:avLst/>
                    </a:prstGeom>
                    <a:noFill/>
                    <a:ln w="9525">
                      <a:noFill/>
                      <a:miter lim="800000"/>
                      <a:headEnd/>
                      <a:tailEnd/>
                    </a:ln>
                  </pic:spPr>
                </pic:pic>
              </a:graphicData>
            </a:graphic>
          </wp:anchor>
        </w:drawing>
      </w:r>
      <w:r w:rsidR="00062218" w:rsidRPr="004C4B36">
        <w:t xml:space="preserve">Město spadá převážně do mírně teplé klimatické oblasti MT7, severní část území (úpatí Krušných hor) je již řazena do chladné oblasti CH7. Oblast </w:t>
      </w:r>
      <w:r w:rsidR="00062218" w:rsidRPr="00B644E0">
        <w:t>MT7 se vyznačuje normálně dlouhým, mírným, mírně suchým létem, krátkým přechodným obdobím s mírným jarem a mírně teplým podzimem. Zima je normálně dlouhá, mírně teplá, suchá až mírně suchá s krátkým trváním sněhové pokrývky. V oblasti CH7 je velmi krátké až krátké léto, mírně chladné a vlhké, přechodné období dlouhé, mírně chladné jaro a mírný podzim. Zima je dlouhá, mírná, mírně vlhká s dlouhým trváním sněhové pokrývky.</w:t>
      </w:r>
    </w:p>
    <w:p w:rsidR="00066312" w:rsidRPr="004C4B36" w:rsidRDefault="00066312" w:rsidP="00062218">
      <w:pPr>
        <w:spacing w:before="0" w:after="120"/>
      </w:pPr>
    </w:p>
    <w:p w:rsidR="00062218" w:rsidRDefault="00062218" w:rsidP="00062218">
      <w:pPr>
        <w:spacing w:before="0" w:after="120"/>
        <w:rPr>
          <w:sz w:val="16"/>
          <w:szCs w:val="16"/>
        </w:rPr>
      </w:pPr>
      <w:r w:rsidRPr="004C4B36">
        <w:rPr>
          <w:sz w:val="16"/>
          <w:szCs w:val="16"/>
        </w:rPr>
        <w:t>Zdroj: ÚAP ORP Ostrov</w:t>
      </w:r>
    </w:p>
    <w:p w:rsidR="00B644E0" w:rsidRPr="004C4B36" w:rsidRDefault="00B644E0" w:rsidP="00062218">
      <w:pPr>
        <w:spacing w:before="0" w:after="120"/>
        <w:rPr>
          <w:sz w:val="16"/>
          <w:szCs w:val="16"/>
        </w:rPr>
      </w:pPr>
    </w:p>
    <w:p w:rsidR="00062218" w:rsidRPr="004C4B36" w:rsidRDefault="00062218" w:rsidP="00062218">
      <w:pPr>
        <w:pStyle w:val="Nadpis6"/>
        <w:rPr>
          <w:color w:val="auto"/>
        </w:rPr>
      </w:pPr>
      <w:r w:rsidRPr="004C4B36">
        <w:rPr>
          <w:color w:val="auto"/>
        </w:rPr>
        <w:t>Hydrogeologie</w:t>
      </w:r>
      <w:bookmarkEnd w:id="33"/>
      <w:bookmarkEnd w:id="34"/>
      <w:r w:rsidRPr="004C4B36">
        <w:rPr>
          <w:color w:val="auto"/>
        </w:rPr>
        <w:t xml:space="preserve"> a vodstvo</w:t>
      </w:r>
      <w:bookmarkEnd w:id="35"/>
    </w:p>
    <w:p w:rsidR="00B644E0" w:rsidRDefault="00B644E0" w:rsidP="00B644E0">
      <w:pPr>
        <w:spacing w:before="0" w:after="0" w:line="240" w:lineRule="auto"/>
      </w:pPr>
    </w:p>
    <w:p w:rsidR="00062218" w:rsidRPr="004C4B36" w:rsidRDefault="00062218" w:rsidP="00B644E0">
      <w:pPr>
        <w:spacing w:before="0" w:after="120"/>
      </w:pPr>
      <w:r w:rsidRPr="004C4B36">
        <w:t xml:space="preserve">Dotčené území města je z hydrogeologického pohledu součástí povodí řeky Ohře a přímo městem protéká její levostranný přítok Bystřice. Ta spolu s Jáchymovským potokem tvoří ze dvou třetin přirozenou hranici vlastního města.  Město a okolí je bohaté na vodní plochy a drobnější vodní toky. V bezprostřední blízkosti zástavby se nachází soustava rybníků Ostrovský velký, Luční, Hluboký, Dolní Hlinice a Luční, které jsou součástí lesoparku Borek. Celá řada dalších rybníků se nachází  zejména v jihozápadní části katastru. </w:t>
      </w:r>
    </w:p>
    <w:p w:rsidR="00062218" w:rsidRDefault="00062218" w:rsidP="00B644E0">
      <w:pPr>
        <w:rPr>
          <w:rFonts w:eastAsia="Times New Roman"/>
          <w:spacing w:val="0"/>
          <w:szCs w:val="22"/>
          <w:lang w:eastAsia="cs-CZ" w:bidi="ar-SA"/>
        </w:rPr>
      </w:pPr>
      <w:r w:rsidRPr="004C4B36">
        <w:t xml:space="preserve">Největší část území spadá do povodí IV. řádu 1-13-02-0740 (Borecký potok), 1-13-02-0730 (Bystřice), 1-13-02-0650 (Bystřice), </w:t>
      </w:r>
      <w:r w:rsidRPr="004C4B36">
        <w:rPr>
          <w:rFonts w:eastAsia="Times New Roman"/>
          <w:spacing w:val="0"/>
          <w:szCs w:val="22"/>
          <w:lang w:eastAsia="cs-CZ" w:bidi="ar-SA"/>
        </w:rPr>
        <w:t>1-13-02-0700  (Jáchymovský potok), 1-13-02-0750 (Bystřice), 1-13-02-0720  (Ostrovský potok). Další povodí, která se v území vyskytují: 1-13-02-0770 (Plavenský potok), 1-13-02-0640 ( Rudný potok), 1-13-02-0690 (Suchá), 1-13-02-0560 (Ohře), 1-13-02-0710 (Bystřice), 1-13-02-0540 (Ohře), 1-13-02-0760 (Ohře) a 1-13-02-0680 (Jáchymovský potok).</w:t>
      </w:r>
    </w:p>
    <w:p w:rsidR="00B644E0" w:rsidRPr="004C4B36" w:rsidRDefault="00B644E0" w:rsidP="00B644E0">
      <w:pPr>
        <w:spacing w:before="0" w:after="120"/>
      </w:pPr>
      <w:r w:rsidRPr="004C4B36">
        <w:t xml:space="preserve">Zasahuje zde záplavové území Bystřice a Jáchymovského potoka (Q5, Q20 a Q100) a také je zde vymezena aktivní zóna uvedených toků. Zóny byly pro Bystřici stanoveny opatřením Krajského úřadu Karlovarského kraje, odborem životního prostředí dne 17.8.2009 pod číslem jednacím 3068/ZZ/09, 26.3.2010 (1211/ZZ/10) a 22.6.2017 (3691/ZZ/16-5). Pro Jáchymovský potok se jedná o dokument ze dne 10.7.2012 pod číslem jednacím  1498/ZZ/12-10. </w:t>
      </w:r>
    </w:p>
    <w:p w:rsidR="00B644E0" w:rsidRPr="00B644E0" w:rsidRDefault="00B644E0" w:rsidP="00062218">
      <w:pPr>
        <w:rPr>
          <w:rFonts w:eastAsia="Times New Roman"/>
          <w:spacing w:val="-4"/>
          <w:szCs w:val="22"/>
          <w:lang w:eastAsia="cs-CZ" w:bidi="ar-SA"/>
        </w:rPr>
      </w:pPr>
      <w:r w:rsidRPr="00B644E0">
        <w:rPr>
          <w:rFonts w:eastAsia="Times New Roman"/>
          <w:spacing w:val="-4"/>
          <w:szCs w:val="22"/>
          <w:lang w:eastAsia="cs-CZ" w:bidi="ar-SA"/>
        </w:rPr>
        <w:t>Severní část katastru obce leží v Chráněné oblasti přirozené akumulace vod Krušné hory. Dále zde zasahují ochranná pásma přírodních léčivých zdrojů (v severní části katastru Jáchymov, v jižní Karlovy Vary a Kyselka).</w:t>
      </w:r>
    </w:p>
    <w:tbl>
      <w:tblPr>
        <w:tblW w:w="0" w:type="auto"/>
        <w:tblLook w:val="04A0" w:firstRow="1" w:lastRow="0" w:firstColumn="1" w:lastColumn="0" w:noHBand="0" w:noVBand="1"/>
      </w:tblPr>
      <w:tblGrid>
        <w:gridCol w:w="4726"/>
        <w:gridCol w:w="4726"/>
      </w:tblGrid>
      <w:tr w:rsidR="00062218" w:rsidRPr="0010549E" w:rsidTr="00062218">
        <w:tc>
          <w:tcPr>
            <w:tcW w:w="4726" w:type="dxa"/>
            <w:shd w:val="clear" w:color="auto" w:fill="auto"/>
            <w:vAlign w:val="center"/>
          </w:tcPr>
          <w:p w:rsidR="00062218" w:rsidRPr="007026C2" w:rsidRDefault="00D36E9C" w:rsidP="00062218">
            <w:pPr>
              <w:spacing w:before="120" w:after="120"/>
            </w:pPr>
            <w:bookmarkStart w:id="36" w:name="_Toc516058969"/>
            <w:r w:rsidRPr="00F42013">
              <w:rPr>
                <w:rFonts w:cs="Arial-ItalicMT" w:hint="eastAsia"/>
                <w:b/>
                <w:bCs/>
                <w:iCs/>
                <w:color w:val="372C74"/>
                <w:spacing w:val="10"/>
                <w:sz w:val="18"/>
                <w:szCs w:val="22"/>
              </w:rPr>
              <w:lastRenderedPageBreak/>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4</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062218" w:rsidRPr="007026C2">
              <w:rPr>
                <w:rFonts w:cs="Arial-ItalicMT"/>
                <w:iCs/>
                <w:sz w:val="18"/>
                <w:szCs w:val="18"/>
              </w:rPr>
              <w:t xml:space="preserve">– </w:t>
            </w:r>
            <w:r w:rsidR="00062218" w:rsidRPr="007026C2">
              <w:rPr>
                <w:sz w:val="18"/>
                <w:szCs w:val="18"/>
              </w:rPr>
              <w:t>Povodí IV. řádu</w:t>
            </w:r>
            <w:bookmarkEnd w:id="36"/>
          </w:p>
        </w:tc>
        <w:tc>
          <w:tcPr>
            <w:tcW w:w="4726" w:type="dxa"/>
            <w:shd w:val="clear" w:color="auto" w:fill="auto"/>
            <w:vAlign w:val="center"/>
          </w:tcPr>
          <w:p w:rsidR="00062218" w:rsidRPr="007026C2" w:rsidRDefault="00D36E9C" w:rsidP="00062218">
            <w:pPr>
              <w:spacing w:before="120" w:after="120"/>
              <w:rPr>
                <w:rFonts w:ascii="Cambria Math" w:hAnsi="Cambria Math" w:hint="eastAsia"/>
              </w:rPr>
            </w:pPr>
            <w:bookmarkStart w:id="37" w:name="_Toc516058970"/>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5</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062218" w:rsidRPr="007026C2">
              <w:rPr>
                <w:rFonts w:cs="Arial-ItalicMT"/>
                <w:iCs/>
                <w:sz w:val="18"/>
                <w:szCs w:val="18"/>
              </w:rPr>
              <w:t xml:space="preserve">– </w:t>
            </w:r>
            <w:r w:rsidR="00062218" w:rsidRPr="007026C2">
              <w:rPr>
                <w:sz w:val="18"/>
                <w:szCs w:val="18"/>
              </w:rPr>
              <w:t>Záplavové území, aktivní zóny</w:t>
            </w:r>
            <w:bookmarkEnd w:id="37"/>
          </w:p>
        </w:tc>
      </w:tr>
      <w:tr w:rsidR="00062218" w:rsidRPr="004C4B36" w:rsidTr="00062218">
        <w:trPr>
          <w:trHeight w:val="3392"/>
        </w:trPr>
        <w:tc>
          <w:tcPr>
            <w:tcW w:w="4726" w:type="dxa"/>
            <w:shd w:val="clear" w:color="auto" w:fill="auto"/>
            <w:vAlign w:val="center"/>
          </w:tcPr>
          <w:p w:rsidR="00062218" w:rsidRPr="007026C2" w:rsidRDefault="00062218" w:rsidP="00062218">
            <w:pPr>
              <w:spacing w:before="120" w:after="120"/>
              <w:rPr>
                <w:color w:val="BFBFBF"/>
              </w:rPr>
            </w:pPr>
            <w:r>
              <w:rPr>
                <w:noProof/>
                <w:color w:val="372C74"/>
                <w:lang w:eastAsia="cs-CZ" w:bidi="ar-SA"/>
              </w:rPr>
              <w:drawing>
                <wp:inline distT="0" distB="0" distL="0" distR="0">
                  <wp:extent cx="2587673" cy="2782634"/>
                  <wp:effectExtent l="19050" t="0" r="3127" b="0"/>
                  <wp:docPr id="20"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a:picLocks noChangeAspect="1" noChangeArrowheads="1"/>
                          </pic:cNvPicPr>
                        </pic:nvPicPr>
                        <pic:blipFill>
                          <a:blip r:embed="rId12"/>
                          <a:srcRect/>
                          <a:stretch>
                            <a:fillRect/>
                          </a:stretch>
                        </pic:blipFill>
                        <pic:spPr bwMode="auto">
                          <a:xfrm>
                            <a:off x="0" y="0"/>
                            <a:ext cx="2592799" cy="2788146"/>
                          </a:xfrm>
                          <a:prstGeom prst="rect">
                            <a:avLst/>
                          </a:prstGeom>
                          <a:noFill/>
                          <a:ln w="9525">
                            <a:noFill/>
                            <a:miter lim="800000"/>
                            <a:headEnd/>
                            <a:tailEnd/>
                          </a:ln>
                        </pic:spPr>
                      </pic:pic>
                    </a:graphicData>
                  </a:graphic>
                </wp:inline>
              </w:drawing>
            </w:r>
          </w:p>
        </w:tc>
        <w:tc>
          <w:tcPr>
            <w:tcW w:w="4726" w:type="dxa"/>
            <w:shd w:val="clear" w:color="auto" w:fill="auto"/>
            <w:vAlign w:val="center"/>
          </w:tcPr>
          <w:p w:rsidR="00062218" w:rsidRPr="007026C2" w:rsidRDefault="00062218" w:rsidP="00062218">
            <w:pPr>
              <w:spacing w:before="120" w:after="120"/>
              <w:rPr>
                <w:color w:val="BFBFBF"/>
              </w:rPr>
            </w:pPr>
            <w:r>
              <w:rPr>
                <w:noProof/>
                <w:lang w:eastAsia="cs-CZ" w:bidi="ar-SA"/>
              </w:rPr>
              <w:drawing>
                <wp:inline distT="0" distB="0" distL="0" distR="0">
                  <wp:extent cx="2326681" cy="2715904"/>
                  <wp:effectExtent l="19050" t="0" r="0" b="0"/>
                  <wp:docPr id="19"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13"/>
                          <a:srcRect/>
                          <a:stretch>
                            <a:fillRect/>
                          </a:stretch>
                        </pic:blipFill>
                        <pic:spPr bwMode="auto">
                          <a:xfrm>
                            <a:off x="0" y="0"/>
                            <a:ext cx="2330349" cy="2720186"/>
                          </a:xfrm>
                          <a:prstGeom prst="rect">
                            <a:avLst/>
                          </a:prstGeom>
                          <a:noFill/>
                          <a:ln w="9525">
                            <a:noFill/>
                            <a:miter lim="800000"/>
                            <a:headEnd/>
                            <a:tailEnd/>
                          </a:ln>
                        </pic:spPr>
                      </pic:pic>
                    </a:graphicData>
                  </a:graphic>
                </wp:inline>
              </w:drawing>
            </w:r>
          </w:p>
        </w:tc>
      </w:tr>
    </w:tbl>
    <w:p w:rsidR="00062218" w:rsidRPr="004C4B36" w:rsidRDefault="00062218" w:rsidP="00062218">
      <w:pPr>
        <w:spacing w:before="0" w:after="120"/>
        <w:rPr>
          <w:sz w:val="16"/>
          <w:szCs w:val="16"/>
        </w:rPr>
      </w:pPr>
      <w:r w:rsidRPr="004C4B36">
        <w:rPr>
          <w:sz w:val="16"/>
          <w:szCs w:val="16"/>
        </w:rPr>
        <w:t>Zdroj: VÚV TGM (Hydroekologický informační systém)</w:t>
      </w:r>
    </w:p>
    <w:p w:rsidR="00062218" w:rsidRPr="004C4B36" w:rsidRDefault="00062218" w:rsidP="00062218">
      <w:pPr>
        <w:spacing w:before="0" w:after="120"/>
        <w:rPr>
          <w:iCs/>
        </w:rPr>
      </w:pPr>
      <w:r w:rsidRPr="004C4B36">
        <w:rPr>
          <w:iCs/>
        </w:rPr>
        <w:t>Na území obce se nachází vodní zdroje Ostrov Vykmanov prameniště A-E (VLHZ/1570/83-235) včetně ochranného pásma a dále zde zasahuje ochranné pásmo vodního zdroje Plavno povrchový odběr Plavenský potok (VLHZ 929/78-235).</w:t>
      </w:r>
    </w:p>
    <w:p w:rsidR="00062218" w:rsidRPr="004C4B36" w:rsidRDefault="00062218" w:rsidP="00062218">
      <w:pPr>
        <w:spacing w:before="0" w:after="120"/>
      </w:pPr>
      <w:r w:rsidRPr="004C4B36">
        <w:rPr>
          <w:iCs/>
        </w:rPr>
        <w:t>Celé území obce patří mezi oblasti citlivé na živiny</w:t>
      </w:r>
      <w:r w:rsidR="00B644E0">
        <w:rPr>
          <w:iCs/>
        </w:rPr>
        <w:t xml:space="preserve"> a</w:t>
      </w:r>
      <w:r w:rsidRPr="004C4B36">
        <w:rPr>
          <w:iCs/>
        </w:rPr>
        <w:t xml:space="preserve"> nespadá do vymezených zranitelných oblastí dle nařízení vlády č. </w:t>
      </w:r>
      <w:r w:rsidRPr="004C4B36">
        <w:t xml:space="preserve">262/2012 </w:t>
      </w:r>
      <w:r w:rsidRPr="004C4B36">
        <w:rPr>
          <w:iCs/>
        </w:rPr>
        <w:t>Sb., o stanovení zranitelných oblastí, používání a skladování hnojiv.</w:t>
      </w:r>
      <w:r w:rsidRPr="004C4B36">
        <w:t xml:space="preserve"> </w:t>
      </w:r>
    </w:p>
    <w:tbl>
      <w:tblPr>
        <w:tblW w:w="0" w:type="auto"/>
        <w:tblLook w:val="04A0" w:firstRow="1" w:lastRow="0" w:firstColumn="1" w:lastColumn="0" w:noHBand="0" w:noVBand="1"/>
      </w:tblPr>
      <w:tblGrid>
        <w:gridCol w:w="4776"/>
        <w:gridCol w:w="4726"/>
      </w:tblGrid>
      <w:tr w:rsidR="00062218" w:rsidRPr="0010549E" w:rsidTr="00B644E0">
        <w:tc>
          <w:tcPr>
            <w:tcW w:w="4776" w:type="dxa"/>
            <w:shd w:val="clear" w:color="auto" w:fill="auto"/>
            <w:vAlign w:val="center"/>
          </w:tcPr>
          <w:p w:rsidR="00062218" w:rsidRPr="007026C2" w:rsidRDefault="00D36E9C" w:rsidP="00B644E0">
            <w:pPr>
              <w:spacing w:before="120" w:after="0"/>
            </w:pPr>
            <w:bookmarkStart w:id="38" w:name="_Toc516058971"/>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6</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062218" w:rsidRPr="007026C2">
              <w:rPr>
                <w:rFonts w:cs="Arial-ItalicMT"/>
                <w:iCs/>
                <w:sz w:val="18"/>
                <w:szCs w:val="18"/>
              </w:rPr>
              <w:t xml:space="preserve">– </w:t>
            </w:r>
            <w:r w:rsidR="00062218" w:rsidRPr="007026C2">
              <w:rPr>
                <w:sz w:val="18"/>
                <w:szCs w:val="18"/>
              </w:rPr>
              <w:t>Chráněné oblasti přirozené akumulace vod</w:t>
            </w:r>
            <w:bookmarkEnd w:id="38"/>
          </w:p>
        </w:tc>
        <w:tc>
          <w:tcPr>
            <w:tcW w:w="4726" w:type="dxa"/>
            <w:shd w:val="clear" w:color="auto" w:fill="auto"/>
            <w:vAlign w:val="center"/>
          </w:tcPr>
          <w:p w:rsidR="00062218" w:rsidRPr="007026C2" w:rsidRDefault="00D36E9C" w:rsidP="00B644E0">
            <w:pPr>
              <w:spacing w:before="120" w:after="0"/>
              <w:rPr>
                <w:rFonts w:ascii="Cambria Math" w:hAnsi="Cambria Math" w:hint="eastAsia"/>
              </w:rPr>
            </w:pPr>
            <w:bookmarkStart w:id="39" w:name="_Toc516058972"/>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7</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062218" w:rsidRPr="007026C2">
              <w:rPr>
                <w:rFonts w:cs="Arial-ItalicMT"/>
                <w:iCs/>
                <w:sz w:val="18"/>
                <w:szCs w:val="18"/>
              </w:rPr>
              <w:t xml:space="preserve">– </w:t>
            </w:r>
            <w:r w:rsidR="00062218" w:rsidRPr="007026C2">
              <w:rPr>
                <w:sz w:val="18"/>
                <w:szCs w:val="18"/>
              </w:rPr>
              <w:t>OP přírodních léčivých zdrojů</w:t>
            </w:r>
            <w:bookmarkEnd w:id="39"/>
          </w:p>
        </w:tc>
      </w:tr>
      <w:tr w:rsidR="00062218" w:rsidRPr="004C4B36" w:rsidTr="00B644E0">
        <w:trPr>
          <w:trHeight w:val="3392"/>
        </w:trPr>
        <w:tc>
          <w:tcPr>
            <w:tcW w:w="4776" w:type="dxa"/>
            <w:shd w:val="clear" w:color="auto" w:fill="auto"/>
            <w:vAlign w:val="center"/>
          </w:tcPr>
          <w:p w:rsidR="00062218" w:rsidRPr="007026C2" w:rsidRDefault="00062218" w:rsidP="00062218">
            <w:pPr>
              <w:spacing w:before="120" w:after="120"/>
              <w:rPr>
                <w:color w:val="BFBFBF"/>
              </w:rPr>
            </w:pPr>
            <w:r>
              <w:rPr>
                <w:noProof/>
                <w:color w:val="372C74"/>
                <w:lang w:eastAsia="cs-CZ" w:bidi="ar-SA"/>
              </w:rPr>
              <w:drawing>
                <wp:inline distT="0" distB="0" distL="0" distR="0">
                  <wp:extent cx="2662337" cy="2777320"/>
                  <wp:effectExtent l="19050" t="0" r="4663" b="0"/>
                  <wp:docPr id="18"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pic:cNvPicPr>
                            <a:picLocks noChangeAspect="1" noChangeArrowheads="1"/>
                          </pic:cNvPicPr>
                        </pic:nvPicPr>
                        <pic:blipFill>
                          <a:blip r:embed="rId14"/>
                          <a:srcRect/>
                          <a:stretch>
                            <a:fillRect/>
                          </a:stretch>
                        </pic:blipFill>
                        <pic:spPr bwMode="auto">
                          <a:xfrm>
                            <a:off x="0" y="0"/>
                            <a:ext cx="2669215" cy="2784495"/>
                          </a:xfrm>
                          <a:prstGeom prst="rect">
                            <a:avLst/>
                          </a:prstGeom>
                          <a:noFill/>
                          <a:ln w="9525">
                            <a:noFill/>
                            <a:miter lim="800000"/>
                            <a:headEnd/>
                            <a:tailEnd/>
                          </a:ln>
                        </pic:spPr>
                      </pic:pic>
                    </a:graphicData>
                  </a:graphic>
                </wp:inline>
              </w:drawing>
            </w:r>
          </w:p>
        </w:tc>
        <w:tc>
          <w:tcPr>
            <w:tcW w:w="4726" w:type="dxa"/>
            <w:shd w:val="clear" w:color="auto" w:fill="auto"/>
            <w:vAlign w:val="center"/>
          </w:tcPr>
          <w:p w:rsidR="00062218" w:rsidRPr="007026C2" w:rsidRDefault="00062218" w:rsidP="00062218">
            <w:pPr>
              <w:spacing w:before="120" w:after="120"/>
              <w:rPr>
                <w:color w:val="BFBFBF"/>
              </w:rPr>
            </w:pPr>
            <w:r>
              <w:rPr>
                <w:noProof/>
                <w:color w:val="BFBFBF"/>
                <w:lang w:eastAsia="cs-CZ" w:bidi="ar-SA"/>
              </w:rPr>
              <w:drawing>
                <wp:inline distT="0" distB="0" distL="0" distR="0">
                  <wp:extent cx="2596443" cy="2763672"/>
                  <wp:effectExtent l="19050" t="0" r="0" b="0"/>
                  <wp:docPr id="11"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a:picLocks noChangeAspect="1" noChangeArrowheads="1"/>
                          </pic:cNvPicPr>
                        </pic:nvPicPr>
                        <pic:blipFill>
                          <a:blip r:embed="rId15"/>
                          <a:srcRect/>
                          <a:stretch>
                            <a:fillRect/>
                          </a:stretch>
                        </pic:blipFill>
                        <pic:spPr bwMode="auto">
                          <a:xfrm>
                            <a:off x="0" y="0"/>
                            <a:ext cx="2597252" cy="2764533"/>
                          </a:xfrm>
                          <a:prstGeom prst="rect">
                            <a:avLst/>
                          </a:prstGeom>
                          <a:noFill/>
                          <a:ln w="9525">
                            <a:noFill/>
                            <a:miter lim="800000"/>
                            <a:headEnd/>
                            <a:tailEnd/>
                          </a:ln>
                        </pic:spPr>
                      </pic:pic>
                    </a:graphicData>
                  </a:graphic>
                </wp:inline>
              </w:drawing>
            </w:r>
          </w:p>
        </w:tc>
      </w:tr>
    </w:tbl>
    <w:p w:rsidR="00062218" w:rsidRPr="004C4B36" w:rsidRDefault="00062218" w:rsidP="00062218">
      <w:pPr>
        <w:spacing w:before="0" w:after="120"/>
        <w:rPr>
          <w:sz w:val="16"/>
          <w:szCs w:val="16"/>
        </w:rPr>
      </w:pPr>
      <w:r w:rsidRPr="004C4B36">
        <w:rPr>
          <w:sz w:val="16"/>
          <w:szCs w:val="16"/>
        </w:rPr>
        <w:t>Zdroj: ÚAP ORP Ostrov</w:t>
      </w:r>
    </w:p>
    <w:p w:rsidR="00062218" w:rsidRPr="004C4B36" w:rsidRDefault="00D36E9C" w:rsidP="00062218">
      <w:pPr>
        <w:rPr>
          <w:sz w:val="18"/>
          <w:szCs w:val="18"/>
        </w:rPr>
      </w:pPr>
      <w:bookmarkStart w:id="40" w:name="_Toc516058973"/>
      <w:r w:rsidRPr="00F42013">
        <w:rPr>
          <w:rFonts w:cs="Arial-ItalicMT" w:hint="eastAsia"/>
          <w:b/>
          <w:bCs/>
          <w:iCs/>
          <w:color w:val="372C74"/>
          <w:spacing w:val="10"/>
          <w:sz w:val="18"/>
          <w:szCs w:val="22"/>
        </w:rPr>
        <w:lastRenderedPageBreak/>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8</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062218" w:rsidRPr="004C4B36">
        <w:rPr>
          <w:rFonts w:cs="Arial-ItalicMT"/>
          <w:iCs/>
          <w:sz w:val="18"/>
          <w:szCs w:val="18"/>
        </w:rPr>
        <w:t xml:space="preserve">– </w:t>
      </w:r>
      <w:r w:rsidR="00062218" w:rsidRPr="004C4B36">
        <w:rPr>
          <w:sz w:val="18"/>
          <w:szCs w:val="18"/>
        </w:rPr>
        <w:t>Vodní zdroje a jejich ochranná pásma</w:t>
      </w:r>
      <w:bookmarkEnd w:id="40"/>
    </w:p>
    <w:p w:rsidR="00062218" w:rsidRPr="004C4B36" w:rsidRDefault="00062218" w:rsidP="00062218">
      <w:pPr>
        <w:spacing w:before="0" w:after="120"/>
        <w:jc w:val="left"/>
      </w:pPr>
      <w:r>
        <w:rPr>
          <w:noProof/>
          <w:lang w:eastAsia="cs-CZ" w:bidi="ar-SA"/>
        </w:rPr>
        <w:drawing>
          <wp:anchor distT="0" distB="0" distL="114300" distR="114300" simplePos="0" relativeHeight="251673600" behindDoc="0" locked="0" layoutInCell="1" allowOverlap="1">
            <wp:simplePos x="0" y="0"/>
            <wp:positionH relativeFrom="column">
              <wp:posOffset>114935</wp:posOffset>
            </wp:positionH>
            <wp:positionV relativeFrom="paragraph">
              <wp:posOffset>2573020</wp:posOffset>
            </wp:positionV>
            <wp:extent cx="930275" cy="520700"/>
            <wp:effectExtent l="19050" t="0" r="3175" b="0"/>
            <wp:wrapNone/>
            <wp:docPr id="29"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1"/>
                    <pic:cNvPicPr>
                      <a:picLocks noChangeAspect="1" noChangeArrowheads="1"/>
                    </pic:cNvPicPr>
                  </pic:nvPicPr>
                  <pic:blipFill>
                    <a:blip r:embed="rId16"/>
                    <a:srcRect/>
                    <a:stretch>
                      <a:fillRect/>
                    </a:stretch>
                  </pic:blipFill>
                  <pic:spPr bwMode="auto">
                    <a:xfrm>
                      <a:off x="0" y="0"/>
                      <a:ext cx="930275" cy="520700"/>
                    </a:xfrm>
                    <a:prstGeom prst="rect">
                      <a:avLst/>
                    </a:prstGeom>
                    <a:noFill/>
                    <a:ln w="9525">
                      <a:noFill/>
                      <a:miter lim="800000"/>
                      <a:headEnd/>
                      <a:tailEnd/>
                    </a:ln>
                  </pic:spPr>
                </pic:pic>
              </a:graphicData>
            </a:graphic>
          </wp:anchor>
        </w:drawing>
      </w:r>
      <w:r>
        <w:rPr>
          <w:noProof/>
          <w:lang w:eastAsia="cs-CZ" w:bidi="ar-SA"/>
        </w:rPr>
        <w:drawing>
          <wp:inline distT="0" distB="0" distL="0" distR="0">
            <wp:extent cx="5915025" cy="3162300"/>
            <wp:effectExtent l="19050" t="0" r="9525" b="0"/>
            <wp:docPr id="10"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pic:cNvPicPr>
                      <a:picLocks noChangeAspect="1" noChangeArrowheads="1"/>
                    </pic:cNvPicPr>
                  </pic:nvPicPr>
                  <pic:blipFill>
                    <a:blip r:embed="rId17"/>
                    <a:srcRect/>
                    <a:stretch>
                      <a:fillRect/>
                    </a:stretch>
                  </pic:blipFill>
                  <pic:spPr bwMode="auto">
                    <a:xfrm>
                      <a:off x="0" y="0"/>
                      <a:ext cx="5915025" cy="3162300"/>
                    </a:xfrm>
                    <a:prstGeom prst="rect">
                      <a:avLst/>
                    </a:prstGeom>
                    <a:noFill/>
                    <a:ln w="9525">
                      <a:noFill/>
                      <a:miter lim="800000"/>
                      <a:headEnd/>
                      <a:tailEnd/>
                    </a:ln>
                  </pic:spPr>
                </pic:pic>
              </a:graphicData>
            </a:graphic>
          </wp:inline>
        </w:drawing>
      </w:r>
    </w:p>
    <w:p w:rsidR="00062218" w:rsidRPr="004C4B36" w:rsidRDefault="00062218" w:rsidP="00062218">
      <w:pPr>
        <w:spacing w:before="0" w:after="120"/>
        <w:rPr>
          <w:sz w:val="16"/>
          <w:szCs w:val="16"/>
        </w:rPr>
      </w:pPr>
      <w:r w:rsidRPr="004C4B36">
        <w:rPr>
          <w:sz w:val="16"/>
          <w:szCs w:val="16"/>
        </w:rPr>
        <w:t>Zdroj: ÚAP ORP Ostrov</w:t>
      </w:r>
    </w:p>
    <w:p w:rsidR="00062218" w:rsidRPr="005B1197" w:rsidRDefault="00062218" w:rsidP="00062218">
      <w:pPr>
        <w:pStyle w:val="Nadpis6"/>
        <w:rPr>
          <w:color w:val="auto"/>
        </w:rPr>
      </w:pPr>
      <w:r w:rsidRPr="005B1197">
        <w:rPr>
          <w:color w:val="auto"/>
        </w:rPr>
        <w:t>Vegetace</w:t>
      </w:r>
    </w:p>
    <w:p w:rsidR="00062218" w:rsidRPr="005B1197" w:rsidRDefault="00062218" w:rsidP="00062218">
      <w:r w:rsidRPr="005B1197">
        <w:t>Území Ostrova se nachází na pomezí bioregionů 1.59 Krušnohorský bioregion a 1.13 Doupovský bioregion.</w:t>
      </w:r>
    </w:p>
    <w:p w:rsidR="00062218" w:rsidRPr="005B1197" w:rsidRDefault="00062218" w:rsidP="00062218">
      <w:r w:rsidRPr="005B1197">
        <w:t>V podloží Krušnohorského bioregionu převažují ruly a žuly. Z půd převažují kambizemě. Z fytogeografického hlediska leží bioregion částečně v mezofytiku (podokres Krušnohorské podhůří vlastní) a částečně v oreofytiku (okres Krušné hory). Vegetační stupně jsou zastoupeny submontánní až supramontánní. Květen</w:t>
      </w:r>
      <w:r w:rsidR="0066705F">
        <w:t>a</w:t>
      </w:r>
      <w:r w:rsidRPr="005B1197">
        <w:t xml:space="preserve"> je spíše uniformní, převažuje středoevropská lesní flóra středních a vyšších poloh. Původně zastoupená charakteristická hercynská horská fauna byla devastována a pozměněná antropogenními a emisními vlivy. Osídlení bioregionu působilo tlak na lesní porost, což se projevilo změnou jejich druhové skladby. V druhé polovině 20. století docházelo k devastaci smrkových porostů imisemi. </w:t>
      </w:r>
    </w:p>
    <w:p w:rsidR="00062218" w:rsidRDefault="00062218" w:rsidP="00062218">
      <w:r>
        <w:t>Pro Doupovský bioregion platí, že typická část  bioregionu  je  tvořena  sopečným  pohořím  s  ultrabazickými  půdami  a  s  širokým  rozpětím vegetačních stupňů od teplomilných doubrav (1. vegetační stupeň) a extrémně teplomilné nelesní (stepní) bioty se  zastoupením  kavylů až  po  5.  jedlovo-bukový  vegetační stupeň,  tj.  po  biotu  horského  bukového  lesa.  V charakteru bioty se projevuje srážkový stín Krušných hor.</w:t>
      </w:r>
    </w:p>
    <w:p w:rsidR="00062218" w:rsidRPr="005B1197" w:rsidRDefault="00062218" w:rsidP="00062218">
      <w:r w:rsidRPr="00E82A1C">
        <w:t xml:space="preserve">Bioregion leží zčásti v termofytiku, kde zabírá fytogeografický okres 1. Doupovská pahorkatina, zčásti v mezofytiku ve fytogeografickém okrese 29. Doupovské vrchy. Vegetační stupně jsou kolinní až submontánní. Potenciální vegetací východního okraje bioregionu jsou teplomilné doubravy a </w:t>
      </w:r>
      <w:r w:rsidRPr="00E82A1C">
        <w:lastRenderedPageBreak/>
        <w:t>zčásti dubohabřiny. Vyšší polohy zaujímají květnaté bučiny. Podél Ohře a větších potoků jsou potenciálními společenstvy olšové luhy, při menších potůčcích Carici remotae-Fraxinetum a Arunco sylvestris-Alnetum glutinosae.</w:t>
      </w:r>
    </w:p>
    <w:p w:rsidR="00062218" w:rsidRPr="004C4F0A" w:rsidRDefault="00062218" w:rsidP="00062218">
      <w:pPr>
        <w:pStyle w:val="Nadpis6"/>
        <w:rPr>
          <w:color w:val="auto"/>
        </w:rPr>
      </w:pPr>
      <w:r w:rsidRPr="004C4F0A">
        <w:rPr>
          <w:color w:val="auto"/>
        </w:rPr>
        <w:t>Pedologie</w:t>
      </w:r>
    </w:p>
    <w:p w:rsidR="00062218" w:rsidRPr="004C4F0A" w:rsidRDefault="00062218" w:rsidP="00062218">
      <w:r w:rsidRPr="004C4F0A">
        <w:t xml:space="preserve">Půdy na území města, včetně jeho nejbližšího okolí, se řadí k půdnímu typu kambizemí a horských kambizemí, půdy pseudoglejové, v západní části katastru se vyskytují půdy na velmi lehkých substrátech, v severní části půdy svažité, v blízkosti vodních toků pak půdy hydromorfní a fluvizemní. </w:t>
      </w:r>
    </w:p>
    <w:p w:rsidR="00062218" w:rsidRPr="004C4F0A" w:rsidRDefault="00D36E9C" w:rsidP="00062218">
      <w:pPr>
        <w:rPr>
          <w:sz w:val="18"/>
          <w:szCs w:val="18"/>
        </w:rPr>
      </w:pPr>
      <w:bookmarkStart w:id="41" w:name="_Toc516058974"/>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9</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062218" w:rsidRPr="004C4F0A">
        <w:rPr>
          <w:rFonts w:cs="Arial-ItalicMT"/>
          <w:iCs/>
          <w:sz w:val="18"/>
          <w:szCs w:val="18"/>
        </w:rPr>
        <w:t xml:space="preserve">– </w:t>
      </w:r>
      <w:r w:rsidR="00062218" w:rsidRPr="004C4F0A">
        <w:rPr>
          <w:sz w:val="18"/>
          <w:szCs w:val="18"/>
        </w:rPr>
        <w:t>Půdní typy</w:t>
      </w:r>
      <w:bookmarkEnd w:id="41"/>
    </w:p>
    <w:p w:rsidR="00062218" w:rsidRPr="004C4F0A" w:rsidRDefault="00062218" w:rsidP="00062218">
      <w:r>
        <w:rPr>
          <w:noProof/>
          <w:lang w:eastAsia="cs-CZ" w:bidi="ar-SA"/>
        </w:rPr>
        <w:drawing>
          <wp:anchor distT="0" distB="0" distL="114300" distR="114300" simplePos="0" relativeHeight="251674624" behindDoc="0" locked="0" layoutInCell="1" allowOverlap="1">
            <wp:simplePos x="0" y="0"/>
            <wp:positionH relativeFrom="column">
              <wp:posOffset>3097530</wp:posOffset>
            </wp:positionH>
            <wp:positionV relativeFrom="paragraph">
              <wp:posOffset>1909445</wp:posOffset>
            </wp:positionV>
            <wp:extent cx="2112010" cy="1764665"/>
            <wp:effectExtent l="19050" t="0" r="2540" b="0"/>
            <wp:wrapNone/>
            <wp:docPr id="2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8"/>
                    <a:srcRect/>
                    <a:stretch>
                      <a:fillRect/>
                    </a:stretch>
                  </pic:blipFill>
                  <pic:spPr bwMode="auto">
                    <a:xfrm>
                      <a:off x="0" y="0"/>
                      <a:ext cx="2112010" cy="1764665"/>
                    </a:xfrm>
                    <a:prstGeom prst="rect">
                      <a:avLst/>
                    </a:prstGeom>
                    <a:noFill/>
                    <a:ln w="9525">
                      <a:noFill/>
                      <a:miter lim="800000"/>
                      <a:headEnd/>
                      <a:tailEnd/>
                    </a:ln>
                  </pic:spPr>
                </pic:pic>
              </a:graphicData>
            </a:graphic>
          </wp:anchor>
        </w:drawing>
      </w:r>
      <w:r>
        <w:rPr>
          <w:noProof/>
          <w:lang w:eastAsia="cs-CZ" w:bidi="ar-SA"/>
        </w:rPr>
        <w:drawing>
          <wp:inline distT="0" distB="0" distL="0" distR="0">
            <wp:extent cx="3076575" cy="3600450"/>
            <wp:effectExtent l="19050" t="0" r="9525" b="0"/>
            <wp:docPr id="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9"/>
                    <a:srcRect/>
                    <a:stretch>
                      <a:fillRect/>
                    </a:stretch>
                  </pic:blipFill>
                  <pic:spPr bwMode="auto">
                    <a:xfrm>
                      <a:off x="0" y="0"/>
                      <a:ext cx="3076575" cy="3600450"/>
                    </a:xfrm>
                    <a:prstGeom prst="rect">
                      <a:avLst/>
                    </a:prstGeom>
                    <a:noFill/>
                    <a:ln w="9525">
                      <a:noFill/>
                      <a:miter lim="800000"/>
                      <a:headEnd/>
                      <a:tailEnd/>
                    </a:ln>
                  </pic:spPr>
                </pic:pic>
              </a:graphicData>
            </a:graphic>
          </wp:inline>
        </w:drawing>
      </w:r>
    </w:p>
    <w:p w:rsidR="00062218" w:rsidRPr="004C4F0A" w:rsidRDefault="00062218" w:rsidP="00062218">
      <w:r w:rsidRPr="004C4F0A">
        <w:rPr>
          <w:sz w:val="16"/>
          <w:szCs w:val="16"/>
        </w:rPr>
        <w:t>Zdroj: BPEJ k 1.7.2017 (SPÚ)</w:t>
      </w:r>
    </w:p>
    <w:p w:rsidR="00062218" w:rsidRPr="007026C2" w:rsidRDefault="00062218" w:rsidP="00062218"/>
    <w:p w:rsidR="0009417A" w:rsidRDefault="0009417A">
      <w:pPr>
        <w:spacing w:before="0" w:after="0" w:line="240" w:lineRule="auto"/>
        <w:jc w:val="left"/>
        <w:rPr>
          <w:sz w:val="24"/>
          <w:szCs w:val="24"/>
        </w:rPr>
      </w:pPr>
      <w:r>
        <w:rPr>
          <w:szCs w:val="24"/>
        </w:rPr>
        <w:br w:type="page"/>
      </w:r>
    </w:p>
    <w:p w:rsidR="00F63E3F" w:rsidRPr="007B0DDF" w:rsidRDefault="00F63E3F" w:rsidP="00F63E3F">
      <w:pPr>
        <w:pStyle w:val="Nadpis4"/>
        <w:pBdr>
          <w:top w:val="none" w:sz="0" w:space="0" w:color="auto"/>
          <w:left w:val="none" w:sz="0" w:space="0" w:color="auto"/>
        </w:pBdr>
        <w:shd w:val="clear" w:color="auto" w:fill="372C74"/>
        <w:spacing w:before="0" w:after="200"/>
        <w:ind w:firstLine="0"/>
        <w:rPr>
          <w:color w:val="auto"/>
          <w:spacing w:val="4"/>
          <w:szCs w:val="24"/>
        </w:rPr>
      </w:pPr>
      <w:bookmarkStart w:id="42" w:name="_Toc516058309"/>
      <w:r w:rsidRPr="007B0DDF">
        <w:rPr>
          <w:color w:val="auto"/>
          <w:spacing w:val="4"/>
          <w:szCs w:val="24"/>
        </w:rPr>
        <w:lastRenderedPageBreak/>
        <w:t>IV. Celková charakteristika města a regionu</w:t>
      </w:r>
      <w:bookmarkEnd w:id="30"/>
      <w:bookmarkEnd w:id="42"/>
    </w:p>
    <w:p w:rsidR="00C8211C" w:rsidRDefault="004A3DA0" w:rsidP="00C8211C">
      <w:pPr>
        <w:rPr>
          <w:rFonts w:asciiTheme="majorHAnsi" w:hAnsiTheme="majorHAnsi"/>
        </w:rPr>
      </w:pPr>
      <w:r>
        <w:rPr>
          <w:rFonts w:asciiTheme="majorHAnsi" w:hAnsiTheme="majorHAnsi"/>
        </w:rPr>
        <w:t>Správní oblast</w:t>
      </w:r>
      <w:r w:rsidR="00FC25F4">
        <w:rPr>
          <w:rFonts w:asciiTheme="majorHAnsi" w:hAnsiTheme="majorHAnsi"/>
        </w:rPr>
        <w:t xml:space="preserve"> ORP</w:t>
      </w:r>
      <w:r w:rsidR="00FC25F4" w:rsidRPr="00EC3E64">
        <w:rPr>
          <w:rFonts w:asciiTheme="majorHAnsi" w:hAnsiTheme="majorHAnsi"/>
        </w:rPr>
        <w:t xml:space="preserve"> </w:t>
      </w:r>
      <w:r w:rsidR="00815319">
        <w:rPr>
          <w:rFonts w:asciiTheme="majorHAnsi" w:hAnsiTheme="majorHAnsi"/>
        </w:rPr>
        <w:t>Ostrov</w:t>
      </w:r>
      <w:r w:rsidR="00FC25F4" w:rsidRPr="00EC3E64">
        <w:rPr>
          <w:rFonts w:asciiTheme="majorHAnsi" w:hAnsiTheme="majorHAnsi"/>
        </w:rPr>
        <w:t xml:space="preserve"> </w:t>
      </w:r>
      <w:r w:rsidR="00FC25F4">
        <w:rPr>
          <w:rFonts w:asciiTheme="majorHAnsi" w:hAnsiTheme="majorHAnsi"/>
        </w:rPr>
        <w:t>se rozkládá v</w:t>
      </w:r>
      <w:r w:rsidR="000D5299">
        <w:rPr>
          <w:rFonts w:asciiTheme="majorHAnsi" w:hAnsiTheme="majorHAnsi"/>
        </w:rPr>
        <w:t xml:space="preserve"> severní části Karlovarského kraje, resp. okresu Karlovy Vary. </w:t>
      </w:r>
      <w:r w:rsidR="00C8211C">
        <w:rPr>
          <w:rFonts w:asciiTheme="majorHAnsi" w:hAnsiTheme="majorHAnsi"/>
        </w:rPr>
        <w:t>Správní obvod zahrnuje</w:t>
      </w:r>
      <w:r w:rsidR="00C8211C" w:rsidRPr="00EC3E64">
        <w:rPr>
          <w:rFonts w:asciiTheme="majorHAnsi" w:hAnsiTheme="majorHAnsi"/>
        </w:rPr>
        <w:t xml:space="preserve"> </w:t>
      </w:r>
      <w:r w:rsidR="00D51B13">
        <w:rPr>
          <w:rFonts w:asciiTheme="majorHAnsi" w:hAnsiTheme="majorHAnsi"/>
        </w:rPr>
        <w:t>15</w:t>
      </w:r>
      <w:r w:rsidR="00C8211C" w:rsidRPr="00EC3E64">
        <w:rPr>
          <w:rFonts w:asciiTheme="majorHAnsi" w:hAnsiTheme="majorHAnsi"/>
        </w:rPr>
        <w:t xml:space="preserve"> obcí</w:t>
      </w:r>
      <w:r w:rsidR="00C8211C">
        <w:rPr>
          <w:rFonts w:asciiTheme="majorHAnsi" w:hAnsiTheme="majorHAnsi"/>
        </w:rPr>
        <w:t xml:space="preserve"> a měst</w:t>
      </w:r>
      <w:r w:rsidR="00C8211C" w:rsidRPr="00EC3E64">
        <w:rPr>
          <w:rFonts w:asciiTheme="majorHAnsi" w:hAnsiTheme="majorHAnsi"/>
        </w:rPr>
        <w:t xml:space="preserve">, </w:t>
      </w:r>
      <w:r w:rsidR="00C8211C">
        <w:rPr>
          <w:rFonts w:asciiTheme="majorHAnsi" w:hAnsiTheme="majorHAnsi"/>
        </w:rPr>
        <w:t>přičemž</w:t>
      </w:r>
      <w:r w:rsidR="00C8211C" w:rsidRPr="00EC3E64">
        <w:rPr>
          <w:rFonts w:asciiTheme="majorHAnsi" w:hAnsiTheme="majorHAnsi"/>
        </w:rPr>
        <w:t xml:space="preserve"> v</w:t>
      </w:r>
      <w:r w:rsidR="00D51B13">
        <w:rPr>
          <w:rFonts w:asciiTheme="majorHAnsi" w:hAnsiTheme="majorHAnsi"/>
        </w:rPr>
        <w:t xml:space="preserve"> samotném</w:t>
      </w:r>
      <w:r w:rsidR="00C8211C" w:rsidRPr="00EC3E64">
        <w:rPr>
          <w:rFonts w:asciiTheme="majorHAnsi" w:hAnsiTheme="majorHAnsi"/>
        </w:rPr>
        <w:t xml:space="preserve"> měst</w:t>
      </w:r>
      <w:r w:rsidR="00D51B13">
        <w:rPr>
          <w:rFonts w:asciiTheme="majorHAnsi" w:hAnsiTheme="majorHAnsi"/>
        </w:rPr>
        <w:t>ě</w:t>
      </w:r>
      <w:r w:rsidR="00C8211C" w:rsidRPr="00EC3E64">
        <w:rPr>
          <w:rFonts w:asciiTheme="majorHAnsi" w:hAnsiTheme="majorHAnsi"/>
        </w:rPr>
        <w:t xml:space="preserve"> </w:t>
      </w:r>
      <w:r w:rsidR="00C8211C">
        <w:rPr>
          <w:rFonts w:asciiTheme="majorHAnsi" w:hAnsiTheme="majorHAnsi"/>
        </w:rPr>
        <w:t xml:space="preserve">Ostrov </w:t>
      </w:r>
      <w:r w:rsidR="00C8211C" w:rsidRPr="00EC3E64">
        <w:rPr>
          <w:rFonts w:asciiTheme="majorHAnsi" w:hAnsiTheme="majorHAnsi"/>
        </w:rPr>
        <w:t xml:space="preserve">žije </w:t>
      </w:r>
      <w:r w:rsidR="00C8211C">
        <w:rPr>
          <w:rFonts w:asciiTheme="majorHAnsi" w:hAnsiTheme="majorHAnsi"/>
        </w:rPr>
        <w:t xml:space="preserve">cca </w:t>
      </w:r>
      <w:r w:rsidR="00D51B13">
        <w:rPr>
          <w:rFonts w:asciiTheme="majorHAnsi" w:hAnsiTheme="majorHAnsi"/>
        </w:rPr>
        <w:t>6</w:t>
      </w:r>
      <w:r w:rsidR="00C8211C">
        <w:rPr>
          <w:rFonts w:asciiTheme="majorHAnsi" w:hAnsiTheme="majorHAnsi"/>
        </w:rPr>
        <w:t>0 </w:t>
      </w:r>
      <w:r w:rsidR="00C8211C" w:rsidRPr="00EC3E64">
        <w:rPr>
          <w:rFonts w:asciiTheme="majorHAnsi" w:hAnsiTheme="majorHAnsi"/>
        </w:rPr>
        <w:t xml:space="preserve">% obyvatel. </w:t>
      </w:r>
      <w:r w:rsidR="00CD5323">
        <w:rPr>
          <w:rFonts w:asciiTheme="majorHAnsi" w:hAnsiTheme="majorHAnsi"/>
        </w:rPr>
        <w:t>Nově od roku 2016 zahrnuje správní obvod i katastr obce Doupovské Hradiště</w:t>
      </w:r>
      <w:r w:rsidR="00B352F9">
        <w:rPr>
          <w:rFonts w:asciiTheme="majorHAnsi" w:hAnsiTheme="majorHAnsi"/>
        </w:rPr>
        <w:t>.</w:t>
      </w:r>
    </w:p>
    <w:p w:rsidR="00406306" w:rsidRDefault="00406306" w:rsidP="00406306">
      <w:pPr>
        <w:rPr>
          <w:rFonts w:asciiTheme="majorHAnsi" w:hAnsiTheme="majorHAnsi"/>
          <w:sz w:val="18"/>
          <w:szCs w:val="18"/>
        </w:rPr>
      </w:pPr>
      <w:bookmarkStart w:id="43" w:name="_Toc516058975"/>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10</w:t>
      </w:r>
      <w:r w:rsidR="005B55A2" w:rsidRPr="00F42013">
        <w:rPr>
          <w:rFonts w:cs="Arial-ItalicMT"/>
          <w:b/>
          <w:bCs/>
          <w:iCs/>
          <w:color w:val="372C74"/>
          <w:spacing w:val="10"/>
          <w:sz w:val="18"/>
          <w:szCs w:val="22"/>
        </w:rPr>
        <w:fldChar w:fldCharType="end"/>
      </w:r>
      <w:r w:rsidRPr="00F42013">
        <w:rPr>
          <w:rFonts w:cs="Arial-ItalicMT"/>
          <w:iCs/>
          <w:sz w:val="18"/>
          <w:szCs w:val="18"/>
        </w:rPr>
        <w:t xml:space="preserve"> - </w:t>
      </w:r>
      <w:r w:rsidRPr="00406306">
        <w:rPr>
          <w:rFonts w:asciiTheme="majorHAnsi" w:hAnsiTheme="majorHAnsi"/>
          <w:sz w:val="18"/>
          <w:szCs w:val="18"/>
        </w:rPr>
        <w:t xml:space="preserve">Administrativní </w:t>
      </w:r>
      <w:r w:rsidR="00F4284F">
        <w:rPr>
          <w:rFonts w:asciiTheme="majorHAnsi" w:hAnsiTheme="majorHAnsi"/>
          <w:sz w:val="18"/>
          <w:szCs w:val="18"/>
        </w:rPr>
        <w:t xml:space="preserve">a obecně-geografická </w:t>
      </w:r>
      <w:r w:rsidRPr="00406306">
        <w:rPr>
          <w:rFonts w:asciiTheme="majorHAnsi" w:hAnsiTheme="majorHAnsi"/>
          <w:sz w:val="18"/>
          <w:szCs w:val="18"/>
        </w:rPr>
        <w:t xml:space="preserve">mapa správního obvodu </w:t>
      </w:r>
      <w:r w:rsidR="00F4284F">
        <w:rPr>
          <w:rFonts w:asciiTheme="majorHAnsi" w:hAnsiTheme="majorHAnsi"/>
          <w:sz w:val="18"/>
          <w:szCs w:val="18"/>
        </w:rPr>
        <w:t>Ostrov</w:t>
      </w:r>
      <w:r w:rsidRPr="00406306">
        <w:rPr>
          <w:rFonts w:asciiTheme="majorHAnsi" w:hAnsiTheme="majorHAnsi"/>
          <w:sz w:val="18"/>
          <w:szCs w:val="18"/>
        </w:rPr>
        <w:t xml:space="preserve"> (stav k 1. 1. 20</w:t>
      </w:r>
      <w:r w:rsidR="00F4284F">
        <w:rPr>
          <w:rFonts w:asciiTheme="majorHAnsi" w:hAnsiTheme="majorHAnsi"/>
          <w:sz w:val="18"/>
          <w:szCs w:val="18"/>
        </w:rPr>
        <w:t>16</w:t>
      </w:r>
      <w:r w:rsidRPr="00406306">
        <w:rPr>
          <w:rFonts w:asciiTheme="majorHAnsi" w:hAnsiTheme="majorHAnsi"/>
          <w:sz w:val="18"/>
          <w:szCs w:val="18"/>
        </w:rPr>
        <w:t>)</w:t>
      </w:r>
      <w:bookmarkEnd w:id="43"/>
    </w:p>
    <w:p w:rsidR="00815319" w:rsidRDefault="00980BC8" w:rsidP="00815319">
      <w:pPr>
        <w:rPr>
          <w:rFonts w:asciiTheme="majorHAnsi" w:hAnsiTheme="majorHAnsi"/>
        </w:rPr>
      </w:pPr>
      <w:r>
        <w:rPr>
          <w:noProof/>
          <w:lang w:eastAsia="cs-CZ" w:bidi="ar-SA"/>
        </w:rPr>
        <w:pict>
          <v:rect id="_x0000_s1028" style="position:absolute;left:0;text-align:left;margin-left:-.7pt;margin-top:9.05pt;width:28.5pt;height:16.4pt;z-index:251671552" stroked="f"/>
        </w:pict>
      </w:r>
      <w:r>
        <w:rPr>
          <w:noProof/>
          <w:lang w:eastAsia="cs-CZ" w:bidi="ar-SA"/>
        </w:rPr>
        <w:pict>
          <v:rect id="_x0000_s1027" style="position:absolute;left:0;text-align:left;margin-left:381.25pt;margin-top:9.05pt;width:76.2pt;height:29pt;z-index:251670528" stroked="f"/>
        </w:pict>
      </w:r>
      <w:r w:rsidR="00F4284F">
        <w:rPr>
          <w:noProof/>
          <w:lang w:eastAsia="cs-CZ" w:bidi="ar-SA"/>
        </w:rPr>
        <w:drawing>
          <wp:anchor distT="0" distB="0" distL="114300" distR="114300" simplePos="0" relativeHeight="251669504" behindDoc="1" locked="0" layoutInCell="1" allowOverlap="1">
            <wp:simplePos x="0" y="0"/>
            <wp:positionH relativeFrom="column">
              <wp:posOffset>3317182</wp:posOffset>
            </wp:positionH>
            <wp:positionV relativeFrom="paragraph">
              <wp:posOffset>2276</wp:posOffset>
            </wp:positionV>
            <wp:extent cx="2771651" cy="3722914"/>
            <wp:effectExtent l="19050" t="0" r="0" b="0"/>
            <wp:wrapNone/>
            <wp:docPr id="84" name="obrázek 10" descr="https://www.czso.cz/documents/11244/56443692/Ostrov.png/079374ea-1bab-4a12-ace3-385bb4a8f5ad?version=1.1&amp;t=149370571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czso.cz/documents/11244/56443692/Ostrov.png/079374ea-1bab-4a12-ace3-385bb4a8f5ad?version=1.1&amp;t=1493705712678"/>
                    <pic:cNvPicPr>
                      <a:picLocks noChangeAspect="1" noChangeArrowheads="1"/>
                    </pic:cNvPicPr>
                  </pic:nvPicPr>
                  <pic:blipFill>
                    <a:blip r:embed="rId20"/>
                    <a:srcRect b="5390"/>
                    <a:stretch>
                      <a:fillRect/>
                    </a:stretch>
                  </pic:blipFill>
                  <pic:spPr bwMode="auto">
                    <a:xfrm>
                      <a:off x="0" y="0"/>
                      <a:ext cx="2771651" cy="3722914"/>
                    </a:xfrm>
                    <a:prstGeom prst="rect">
                      <a:avLst/>
                    </a:prstGeom>
                    <a:noFill/>
                    <a:ln w="9525">
                      <a:noFill/>
                      <a:miter lim="800000"/>
                      <a:headEnd/>
                      <a:tailEnd/>
                    </a:ln>
                  </pic:spPr>
                </pic:pic>
              </a:graphicData>
            </a:graphic>
          </wp:anchor>
        </w:drawing>
      </w:r>
      <w:r w:rsidR="002C593B">
        <w:rPr>
          <w:noProof/>
          <w:lang w:eastAsia="cs-CZ" w:bidi="ar-SA"/>
        </w:rPr>
        <w:drawing>
          <wp:inline distT="0" distB="0" distL="0" distR="0">
            <wp:extent cx="3062596" cy="3302244"/>
            <wp:effectExtent l="19050" t="0" r="4454" b="0"/>
            <wp:docPr id="50" name="obrázek 7" descr="https://www.czso.cz/documents/11244/41575900/ORP4106.png/408fff0f-210f-40f5-a6a4-28aaee3688b4?version=1.1&amp;t=147011703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czso.cz/documents/11244/41575900/ORP4106.png/408fff0f-210f-40f5-a6a4-28aaee3688b4?version=1.1&amp;t=1470117031180"/>
                    <pic:cNvPicPr>
                      <a:picLocks noChangeAspect="1" noChangeArrowheads="1"/>
                    </pic:cNvPicPr>
                  </pic:nvPicPr>
                  <pic:blipFill>
                    <a:blip r:embed="rId21"/>
                    <a:srcRect l="21897" r="12465"/>
                    <a:stretch>
                      <a:fillRect/>
                    </a:stretch>
                  </pic:blipFill>
                  <pic:spPr bwMode="auto">
                    <a:xfrm>
                      <a:off x="0" y="0"/>
                      <a:ext cx="3063279" cy="3302980"/>
                    </a:xfrm>
                    <a:prstGeom prst="rect">
                      <a:avLst/>
                    </a:prstGeom>
                    <a:noFill/>
                    <a:ln w="9525">
                      <a:noFill/>
                      <a:miter lim="800000"/>
                      <a:headEnd/>
                      <a:tailEnd/>
                    </a:ln>
                  </pic:spPr>
                </pic:pic>
              </a:graphicData>
            </a:graphic>
          </wp:inline>
        </w:drawing>
      </w:r>
    </w:p>
    <w:p w:rsidR="00F4284F" w:rsidRPr="00D82C5F" w:rsidRDefault="00F4284F" w:rsidP="00F4284F">
      <w:pPr>
        <w:spacing w:before="0" w:after="120"/>
        <w:ind w:left="1985"/>
        <w:rPr>
          <w:rFonts w:asciiTheme="majorHAnsi" w:hAnsiTheme="majorHAnsi"/>
          <w:sz w:val="16"/>
          <w:szCs w:val="16"/>
        </w:rPr>
      </w:pPr>
      <w:r w:rsidRPr="00D82C5F">
        <w:rPr>
          <w:rFonts w:asciiTheme="majorHAnsi" w:hAnsiTheme="majorHAnsi"/>
          <w:sz w:val="16"/>
          <w:szCs w:val="16"/>
        </w:rPr>
        <w:t>Zdroj: ČSÚ</w:t>
      </w:r>
      <w:r>
        <w:rPr>
          <w:rFonts w:asciiTheme="majorHAnsi" w:hAnsiTheme="majorHAnsi"/>
          <w:sz w:val="16"/>
          <w:szCs w:val="16"/>
        </w:rPr>
        <w:t xml:space="preserve"> Karlovy Vary</w:t>
      </w:r>
    </w:p>
    <w:p w:rsidR="00F35068" w:rsidRDefault="00F35068" w:rsidP="004C0A5C">
      <w:pPr>
        <w:rPr>
          <w:rFonts w:asciiTheme="majorHAnsi" w:hAnsiTheme="majorHAnsi"/>
        </w:rPr>
      </w:pPr>
    </w:p>
    <w:p w:rsidR="00F35068" w:rsidRDefault="00F35068" w:rsidP="004C0A5C">
      <w:pPr>
        <w:rPr>
          <w:rFonts w:asciiTheme="majorHAnsi" w:hAnsiTheme="majorHAnsi"/>
        </w:rPr>
      </w:pPr>
    </w:p>
    <w:p w:rsidR="00F35068" w:rsidRDefault="00F35068" w:rsidP="004C0A5C">
      <w:pPr>
        <w:rPr>
          <w:rFonts w:asciiTheme="majorHAnsi" w:hAnsiTheme="majorHAnsi"/>
        </w:rPr>
      </w:pPr>
    </w:p>
    <w:p w:rsidR="00F35068" w:rsidRDefault="00F35068" w:rsidP="004C0A5C">
      <w:pPr>
        <w:rPr>
          <w:rFonts w:asciiTheme="majorHAnsi" w:hAnsiTheme="majorHAnsi"/>
        </w:rPr>
      </w:pPr>
    </w:p>
    <w:p w:rsidR="00F35068" w:rsidRDefault="00F35068" w:rsidP="004C0A5C">
      <w:pPr>
        <w:rPr>
          <w:rFonts w:asciiTheme="majorHAnsi" w:hAnsiTheme="majorHAnsi"/>
        </w:rPr>
      </w:pPr>
    </w:p>
    <w:p w:rsidR="00F35068" w:rsidRDefault="00F35068" w:rsidP="004C0A5C">
      <w:pPr>
        <w:rPr>
          <w:rFonts w:asciiTheme="majorHAnsi" w:hAnsiTheme="majorHAnsi"/>
        </w:rPr>
      </w:pPr>
    </w:p>
    <w:p w:rsidR="00F35068" w:rsidRDefault="00F35068" w:rsidP="004C0A5C">
      <w:pPr>
        <w:rPr>
          <w:rFonts w:asciiTheme="majorHAnsi" w:hAnsiTheme="majorHAnsi"/>
        </w:rPr>
      </w:pPr>
    </w:p>
    <w:p w:rsidR="00F35068" w:rsidRDefault="00F35068" w:rsidP="004C0A5C">
      <w:pPr>
        <w:rPr>
          <w:rFonts w:asciiTheme="majorHAnsi" w:hAnsiTheme="majorHAnsi"/>
        </w:rPr>
      </w:pPr>
    </w:p>
    <w:p w:rsidR="00F35068" w:rsidRDefault="00F35068" w:rsidP="004C0A5C">
      <w:pPr>
        <w:rPr>
          <w:rFonts w:asciiTheme="majorHAnsi" w:hAnsiTheme="majorHAnsi"/>
        </w:rPr>
      </w:pPr>
    </w:p>
    <w:p w:rsidR="00F35068" w:rsidRDefault="00F35068" w:rsidP="004C0A5C">
      <w:pPr>
        <w:rPr>
          <w:rFonts w:asciiTheme="majorHAnsi" w:hAnsiTheme="majorHAnsi"/>
        </w:rPr>
      </w:pPr>
    </w:p>
    <w:p w:rsidR="004C0A5C" w:rsidRDefault="004C0A5C" w:rsidP="004C0A5C">
      <w:pPr>
        <w:rPr>
          <w:rFonts w:asciiTheme="majorHAnsi" w:hAnsiTheme="majorHAnsi"/>
        </w:rPr>
      </w:pPr>
      <w:r>
        <w:rPr>
          <w:rFonts w:asciiTheme="majorHAnsi" w:hAnsiTheme="majorHAnsi"/>
        </w:rPr>
        <w:lastRenderedPageBreak/>
        <w:t>Ze sedmi SO Karlovarského kraje je SO ORP Ostrov s</w:t>
      </w:r>
      <w:r w:rsidRPr="00EC3E64">
        <w:rPr>
          <w:rFonts w:asciiTheme="majorHAnsi" w:hAnsiTheme="majorHAnsi"/>
        </w:rPr>
        <w:t xml:space="preserve">vou rozlohou </w:t>
      </w:r>
      <w:r>
        <w:rPr>
          <w:rFonts w:asciiTheme="majorHAnsi" w:hAnsiTheme="majorHAnsi"/>
        </w:rPr>
        <w:t>až pátým</w:t>
      </w:r>
      <w:r w:rsidRPr="00EC3E64">
        <w:rPr>
          <w:rFonts w:asciiTheme="majorHAnsi" w:hAnsiTheme="majorHAnsi"/>
        </w:rPr>
        <w:t xml:space="preserve"> největším správním obvodem</w:t>
      </w:r>
      <w:r>
        <w:rPr>
          <w:rFonts w:asciiTheme="majorHAnsi" w:hAnsiTheme="majorHAnsi"/>
        </w:rPr>
        <w:t xml:space="preserve">, ale počtem obyvatel zaujímá čtvrté místo. </w:t>
      </w:r>
    </w:p>
    <w:p w:rsidR="00815319" w:rsidRPr="00F42013" w:rsidRDefault="00815319" w:rsidP="00815319">
      <w:pPr>
        <w:rPr>
          <w:rFonts w:asciiTheme="majorHAnsi" w:hAnsiTheme="majorHAnsi"/>
          <w:sz w:val="18"/>
          <w:szCs w:val="18"/>
        </w:rPr>
      </w:pPr>
      <w:bookmarkStart w:id="44" w:name="_Toc516058976"/>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11</w:t>
      </w:r>
      <w:r w:rsidR="005B55A2" w:rsidRPr="00F42013">
        <w:rPr>
          <w:rFonts w:cs="Arial-ItalicMT"/>
          <w:b/>
          <w:bCs/>
          <w:iCs/>
          <w:color w:val="372C74"/>
          <w:spacing w:val="10"/>
          <w:sz w:val="18"/>
          <w:szCs w:val="22"/>
        </w:rPr>
        <w:fldChar w:fldCharType="end"/>
      </w:r>
      <w:r w:rsidRPr="00F42013">
        <w:rPr>
          <w:rFonts w:cs="Arial-ItalicMT"/>
          <w:iCs/>
          <w:sz w:val="18"/>
          <w:szCs w:val="18"/>
        </w:rPr>
        <w:t xml:space="preserve"> - </w:t>
      </w:r>
      <w:r w:rsidRPr="00406306">
        <w:rPr>
          <w:rFonts w:asciiTheme="majorHAnsi" w:hAnsiTheme="majorHAnsi"/>
          <w:sz w:val="18"/>
          <w:szCs w:val="18"/>
        </w:rPr>
        <w:t xml:space="preserve">Postavení SO ORP </w:t>
      </w:r>
      <w:r>
        <w:rPr>
          <w:rFonts w:asciiTheme="majorHAnsi" w:hAnsiTheme="majorHAnsi"/>
          <w:sz w:val="18"/>
          <w:szCs w:val="18"/>
        </w:rPr>
        <w:t>Ostrov</w:t>
      </w:r>
      <w:r w:rsidRPr="00406306">
        <w:rPr>
          <w:rFonts w:asciiTheme="majorHAnsi" w:hAnsiTheme="majorHAnsi"/>
          <w:sz w:val="18"/>
          <w:szCs w:val="18"/>
        </w:rPr>
        <w:t xml:space="preserve"> vůči ostatním SO ORP v </w:t>
      </w:r>
      <w:r>
        <w:rPr>
          <w:rFonts w:asciiTheme="majorHAnsi" w:hAnsiTheme="majorHAnsi"/>
          <w:sz w:val="18"/>
          <w:szCs w:val="18"/>
        </w:rPr>
        <w:t>Karlovarské</w:t>
      </w:r>
      <w:r w:rsidRPr="00406306">
        <w:rPr>
          <w:rFonts w:asciiTheme="majorHAnsi" w:hAnsiTheme="majorHAnsi"/>
          <w:sz w:val="18"/>
          <w:szCs w:val="18"/>
        </w:rPr>
        <w:t>m kraji</w:t>
      </w:r>
      <w:bookmarkEnd w:id="44"/>
    </w:p>
    <w:p w:rsidR="00815319" w:rsidRPr="00D82C5F" w:rsidRDefault="002C593B" w:rsidP="00815319">
      <w:pPr>
        <w:spacing w:before="0" w:after="0"/>
        <w:jc w:val="center"/>
        <w:rPr>
          <w:rFonts w:asciiTheme="majorHAnsi" w:hAnsiTheme="majorHAnsi"/>
        </w:rPr>
      </w:pPr>
      <w:r>
        <w:rPr>
          <w:noProof/>
          <w:lang w:eastAsia="cs-CZ" w:bidi="ar-SA"/>
        </w:rPr>
        <w:drawing>
          <wp:inline distT="0" distB="0" distL="0" distR="0">
            <wp:extent cx="4508426" cy="3191069"/>
            <wp:effectExtent l="19050" t="0" r="6424" b="0"/>
            <wp:docPr id="88" name="obrázek 13" descr="https://www.czso.cz/documents/11244/43807825/adm_mapa.png/6b444a29-e8ed-4303-a5b5-8c86cb0a95c3?version=1.3&amp;t=148533090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czso.cz/documents/11244/43807825/adm_mapa.png/6b444a29-e8ed-4303-a5b5-8c86cb0a95c3?version=1.3&amp;t=1485330906680"/>
                    <pic:cNvPicPr>
                      <a:picLocks noChangeAspect="1" noChangeArrowheads="1"/>
                    </pic:cNvPicPr>
                  </pic:nvPicPr>
                  <pic:blipFill>
                    <a:blip r:embed="rId22"/>
                    <a:srcRect/>
                    <a:stretch>
                      <a:fillRect/>
                    </a:stretch>
                  </pic:blipFill>
                  <pic:spPr bwMode="auto">
                    <a:xfrm>
                      <a:off x="0" y="0"/>
                      <a:ext cx="4509532" cy="3191852"/>
                    </a:xfrm>
                    <a:prstGeom prst="rect">
                      <a:avLst/>
                    </a:prstGeom>
                    <a:noFill/>
                    <a:ln w="9525">
                      <a:noFill/>
                      <a:miter lim="800000"/>
                      <a:headEnd/>
                      <a:tailEnd/>
                    </a:ln>
                  </pic:spPr>
                </pic:pic>
              </a:graphicData>
            </a:graphic>
          </wp:inline>
        </w:drawing>
      </w:r>
    </w:p>
    <w:p w:rsidR="00F039B5" w:rsidRDefault="00815319" w:rsidP="00F039B5">
      <w:r w:rsidRPr="00D82C5F">
        <w:rPr>
          <w:rFonts w:asciiTheme="majorHAnsi" w:hAnsiTheme="majorHAnsi"/>
          <w:sz w:val="16"/>
          <w:szCs w:val="16"/>
        </w:rPr>
        <w:t xml:space="preserve">Zdroj: </w:t>
      </w:r>
      <w:hyperlink r:id="rId23" w:history="1">
        <w:r w:rsidR="00F039B5" w:rsidRPr="00F039B5">
          <w:rPr>
            <w:rStyle w:val="Hypertextovodkaz"/>
            <w:rFonts w:asciiTheme="majorHAnsi" w:hAnsiTheme="majorHAnsi"/>
            <w:sz w:val="16"/>
            <w:szCs w:val="16"/>
          </w:rPr>
          <w:t>https://www.czso.cz/csu/xk/mapy_a_kartogramy</w:t>
        </w:r>
      </w:hyperlink>
    </w:p>
    <w:p w:rsidR="00B16F4B" w:rsidRDefault="00B16F4B" w:rsidP="00F039B5"/>
    <w:p w:rsidR="00B16F4B" w:rsidRDefault="00B16F4B" w:rsidP="00F039B5"/>
    <w:p w:rsidR="00B16F4B" w:rsidRDefault="00B16F4B" w:rsidP="00F039B5"/>
    <w:p w:rsidR="00B16F4B" w:rsidRDefault="00B16F4B" w:rsidP="00F039B5"/>
    <w:p w:rsidR="00B16F4B" w:rsidRDefault="00B16F4B" w:rsidP="00F039B5"/>
    <w:p w:rsidR="00B16F4B" w:rsidRDefault="00B16F4B" w:rsidP="00F039B5"/>
    <w:p w:rsidR="00B16F4B" w:rsidRDefault="00B16F4B" w:rsidP="00F039B5"/>
    <w:p w:rsidR="00B16F4B" w:rsidRDefault="00B16F4B" w:rsidP="00F039B5"/>
    <w:p w:rsidR="00B16F4B" w:rsidRDefault="00B16F4B" w:rsidP="00F039B5"/>
    <w:p w:rsidR="00B16F4B" w:rsidRDefault="00B16F4B" w:rsidP="00F039B5"/>
    <w:p w:rsidR="00B16F4B" w:rsidRDefault="00B16F4B" w:rsidP="00F039B5"/>
    <w:p w:rsidR="00B16F4B" w:rsidRPr="00F039B5" w:rsidRDefault="00B16F4B" w:rsidP="00F039B5">
      <w:pPr>
        <w:rPr>
          <w:rFonts w:asciiTheme="majorHAnsi" w:hAnsiTheme="majorHAnsi"/>
          <w:sz w:val="16"/>
          <w:szCs w:val="16"/>
        </w:rPr>
      </w:pPr>
    </w:p>
    <w:tbl>
      <w:tblPr>
        <w:tblW w:w="0" w:type="auto"/>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ook w:val="04A0" w:firstRow="1" w:lastRow="0" w:firstColumn="1" w:lastColumn="0" w:noHBand="0" w:noVBand="1"/>
      </w:tblPr>
      <w:tblGrid>
        <w:gridCol w:w="675"/>
        <w:gridCol w:w="4051"/>
        <w:gridCol w:w="627"/>
        <w:gridCol w:w="4099"/>
      </w:tblGrid>
      <w:tr w:rsidR="006008D1" w:rsidRPr="00253E29" w:rsidTr="002B7838">
        <w:tc>
          <w:tcPr>
            <w:tcW w:w="9452" w:type="dxa"/>
            <w:gridSpan w:val="4"/>
            <w:tcBorders>
              <w:top w:val="single" w:sz="12" w:space="0" w:color="372C74"/>
              <w:left w:val="single" w:sz="12" w:space="0" w:color="372C74"/>
              <w:bottom w:val="single" w:sz="4" w:space="0" w:color="auto"/>
              <w:right w:val="single" w:sz="12" w:space="0" w:color="372C74"/>
              <w:tl2br w:val="nil"/>
              <w:tr2bl w:val="nil"/>
            </w:tcBorders>
            <w:shd w:val="clear" w:color="auto" w:fill="372C74"/>
            <w:vAlign w:val="center"/>
          </w:tcPr>
          <w:p w:rsidR="006008D1" w:rsidRPr="00053817" w:rsidRDefault="006008D1" w:rsidP="002B7838">
            <w:pPr>
              <w:autoSpaceDE w:val="0"/>
              <w:autoSpaceDN w:val="0"/>
              <w:adjustRightInd w:val="0"/>
              <w:spacing w:before="0" w:after="0" w:line="240" w:lineRule="auto"/>
              <w:rPr>
                <w:b/>
                <w:lang w:bidi="ar-SA"/>
              </w:rPr>
            </w:pPr>
            <w:r w:rsidRPr="00053817">
              <w:rPr>
                <w:b/>
                <w:lang w:bidi="ar-SA"/>
              </w:rPr>
              <w:lastRenderedPageBreak/>
              <w:t>Shrnutí hlavních pozitivních a negativních charakteristik a očekávaných trendů v oblasti</w:t>
            </w:r>
          </w:p>
          <w:p w:rsidR="006008D1" w:rsidRPr="00053817" w:rsidRDefault="006008D1" w:rsidP="002B7838">
            <w:pPr>
              <w:autoSpaceDE w:val="0"/>
              <w:autoSpaceDN w:val="0"/>
              <w:adjustRightInd w:val="0"/>
              <w:spacing w:before="0" w:after="0" w:line="240" w:lineRule="auto"/>
              <w:jc w:val="center"/>
              <w:rPr>
                <w:rFonts w:cs="Arial-ItalicMT"/>
                <w:b/>
                <w:iCs/>
                <w:szCs w:val="22"/>
              </w:rPr>
            </w:pPr>
            <w:r>
              <w:rPr>
                <w:b/>
                <w:lang w:bidi="ar-SA"/>
              </w:rPr>
              <w:t>Území</w:t>
            </w:r>
          </w:p>
        </w:tc>
      </w:tr>
      <w:tr w:rsidR="006008D1" w:rsidTr="002B7838">
        <w:tc>
          <w:tcPr>
            <w:tcW w:w="675" w:type="dxa"/>
            <w:tcBorders>
              <w:top w:val="single" w:sz="4" w:space="0" w:color="auto"/>
              <w:left w:val="single" w:sz="4" w:space="0" w:color="auto"/>
              <w:bottom w:val="single" w:sz="4" w:space="0" w:color="auto"/>
              <w:right w:val="nil"/>
              <w:tl2br w:val="nil"/>
              <w:tr2bl w:val="nil"/>
            </w:tcBorders>
            <w:shd w:val="clear" w:color="auto" w:fill="DDE9EC"/>
            <w:vAlign w:val="center"/>
          </w:tcPr>
          <w:p w:rsidR="006008D1" w:rsidRPr="00053817" w:rsidRDefault="006008D1" w:rsidP="002B7838">
            <w:pPr>
              <w:autoSpaceDE w:val="0"/>
              <w:autoSpaceDN w:val="0"/>
              <w:adjustRightInd w:val="0"/>
              <w:spacing w:before="60" w:after="60" w:line="240" w:lineRule="auto"/>
              <w:jc w:val="center"/>
              <w:rPr>
                <w:rFonts w:ascii="Arial Black" w:hAnsi="Arial Black" w:cs="Arial-ItalicMT"/>
                <w:b/>
                <w:iCs/>
                <w:color w:val="00B050"/>
                <w:szCs w:val="22"/>
              </w:rPr>
            </w:pPr>
            <w:r w:rsidRPr="00053817">
              <w:rPr>
                <w:rFonts w:ascii="Arial Black" w:hAnsi="Arial Black" w:cs="Arial-ItalicMT"/>
                <w:b/>
                <w:iCs/>
                <w:color w:val="00B050"/>
                <w:sz w:val="40"/>
                <w:szCs w:val="40"/>
              </w:rPr>
              <w:t>+</w:t>
            </w:r>
          </w:p>
        </w:tc>
        <w:tc>
          <w:tcPr>
            <w:tcW w:w="4051" w:type="dxa"/>
            <w:tcBorders>
              <w:top w:val="single" w:sz="4" w:space="0" w:color="auto"/>
              <w:left w:val="nil"/>
              <w:bottom w:val="single" w:sz="4" w:space="0" w:color="auto"/>
              <w:right w:val="single" w:sz="4" w:space="0" w:color="auto"/>
            </w:tcBorders>
            <w:shd w:val="clear" w:color="auto" w:fill="DDE9EC"/>
          </w:tcPr>
          <w:p w:rsidR="00FB40B3" w:rsidRDefault="00250266" w:rsidP="006164A0">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 xml:space="preserve">Větší množství vodních ploch (nádrží, rybníků) a drobných vodních toků </w:t>
            </w:r>
          </w:p>
          <w:p w:rsidR="00250266" w:rsidRDefault="000C7F4B" w:rsidP="006164A0">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Snadno dostupné regionální centrum</w:t>
            </w:r>
          </w:p>
          <w:p w:rsidR="0066705F" w:rsidRDefault="0066705F" w:rsidP="006164A0">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Výhodná poloha města (nedaleko KV)</w:t>
            </w:r>
          </w:p>
          <w:p w:rsidR="0066705F" w:rsidRDefault="0066705F" w:rsidP="006164A0">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Nástupní plocha pro Krušné hory</w:t>
            </w:r>
          </w:p>
          <w:p w:rsidR="0066705F" w:rsidRDefault="0066705F" w:rsidP="006164A0">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Bohatá a pestrá historie</w:t>
            </w:r>
          </w:p>
          <w:p w:rsidR="0066705F" w:rsidRDefault="0066705F" w:rsidP="006164A0">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Dostatečná prameniště pitné vody</w:t>
            </w:r>
          </w:p>
          <w:p w:rsidR="0066705F" w:rsidRDefault="0066705F" w:rsidP="006164A0">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Kvalitní vnější komunikační napojení města</w:t>
            </w:r>
          </w:p>
          <w:p w:rsidR="0066705F" w:rsidRDefault="0066705F" w:rsidP="006164A0">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Kvalitní a udržovaná technická infrastruktura města</w:t>
            </w:r>
          </w:p>
          <w:p w:rsidR="0066705F" w:rsidRDefault="0066705F" w:rsidP="0066705F">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Kvalitní životní prostředí ve městě a okolí</w:t>
            </w:r>
          </w:p>
          <w:p w:rsidR="0066705F" w:rsidRDefault="0066705F" w:rsidP="0066705F">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Blízkost hranice se SRN</w:t>
            </w:r>
          </w:p>
          <w:p w:rsidR="0066705F" w:rsidRPr="0066705F" w:rsidRDefault="0066705F" w:rsidP="00B16F4B">
            <w:pPr>
              <w:pStyle w:val="Odstavecseseznamem"/>
              <w:numPr>
                <w:ilvl w:val="0"/>
                <w:numId w:val="1"/>
              </w:numPr>
              <w:autoSpaceDE w:val="0"/>
              <w:autoSpaceDN w:val="0"/>
              <w:adjustRightInd w:val="0"/>
              <w:spacing w:before="60" w:after="60" w:line="240" w:lineRule="auto"/>
              <w:ind w:left="459"/>
              <w:jc w:val="left"/>
              <w:rPr>
                <w:rFonts w:cs="Arial-ItalicMT"/>
                <w:iCs/>
                <w:szCs w:val="22"/>
              </w:rPr>
            </w:pPr>
            <w:r>
              <w:rPr>
                <w:rFonts w:cs="Arial-ItalicMT"/>
                <w:iCs/>
                <w:szCs w:val="22"/>
              </w:rPr>
              <w:t>Nízká frekvence kamionové dopravy ve městě</w:t>
            </w:r>
          </w:p>
        </w:tc>
        <w:tc>
          <w:tcPr>
            <w:tcW w:w="627" w:type="dxa"/>
            <w:tcBorders>
              <w:top w:val="single" w:sz="4" w:space="0" w:color="auto"/>
              <w:left w:val="single" w:sz="4" w:space="0" w:color="auto"/>
              <w:bottom w:val="single" w:sz="4" w:space="0" w:color="auto"/>
              <w:right w:val="nil"/>
            </w:tcBorders>
            <w:shd w:val="clear" w:color="auto" w:fill="DDE9EC"/>
            <w:vAlign w:val="center"/>
          </w:tcPr>
          <w:p w:rsidR="006008D1" w:rsidRPr="00053817" w:rsidRDefault="006008D1" w:rsidP="002B7838">
            <w:pPr>
              <w:autoSpaceDE w:val="0"/>
              <w:autoSpaceDN w:val="0"/>
              <w:adjustRightInd w:val="0"/>
              <w:spacing w:before="60" w:after="60" w:line="240" w:lineRule="auto"/>
              <w:jc w:val="center"/>
              <w:rPr>
                <w:rFonts w:cs="Arial-ItalicMT"/>
                <w:iCs/>
                <w:color w:val="FF0000"/>
                <w:sz w:val="40"/>
                <w:szCs w:val="40"/>
              </w:rPr>
            </w:pPr>
            <w:r w:rsidRPr="00053817">
              <w:rPr>
                <w:rFonts w:ascii="Arial Black" w:hAnsi="Arial Black" w:cs="Arial-ItalicMT"/>
                <w:b/>
                <w:iCs/>
                <w:color w:val="FF0000"/>
                <w:sz w:val="40"/>
                <w:szCs w:val="40"/>
              </w:rPr>
              <w:t>-</w:t>
            </w:r>
          </w:p>
        </w:tc>
        <w:tc>
          <w:tcPr>
            <w:tcW w:w="4099" w:type="dxa"/>
            <w:tcBorders>
              <w:top w:val="single" w:sz="4" w:space="0" w:color="auto"/>
              <w:left w:val="nil"/>
              <w:bottom w:val="single" w:sz="4" w:space="0" w:color="auto"/>
              <w:right w:val="single" w:sz="4" w:space="0" w:color="auto"/>
            </w:tcBorders>
            <w:shd w:val="clear" w:color="auto" w:fill="DDE9EC"/>
          </w:tcPr>
          <w:p w:rsidR="00A05CDC" w:rsidRPr="0066705F" w:rsidRDefault="000C7F4B" w:rsidP="006164A0">
            <w:pPr>
              <w:pStyle w:val="Odstavecseseznamem"/>
              <w:numPr>
                <w:ilvl w:val="0"/>
                <w:numId w:val="2"/>
              </w:numPr>
              <w:autoSpaceDE w:val="0"/>
              <w:autoSpaceDN w:val="0"/>
              <w:adjustRightInd w:val="0"/>
              <w:spacing w:before="60" w:after="60" w:line="240" w:lineRule="auto"/>
              <w:ind w:left="318"/>
              <w:jc w:val="left"/>
              <w:rPr>
                <w:rFonts w:cs="Arial-ItalicMT"/>
                <w:b/>
                <w:iCs/>
                <w:szCs w:val="22"/>
              </w:rPr>
            </w:pPr>
            <w:r w:rsidRPr="00C93FDF">
              <w:rPr>
                <w:rFonts w:cs="Arial-ItalicMT"/>
                <w:iCs/>
                <w:szCs w:val="22"/>
              </w:rPr>
              <w:t>Gravitační účinky relativně blízkého regionálního centra</w:t>
            </w:r>
            <w:r w:rsidR="00C93FDF">
              <w:rPr>
                <w:rFonts w:cs="Arial-ItalicMT"/>
                <w:iCs/>
                <w:szCs w:val="22"/>
              </w:rPr>
              <w:t>.</w:t>
            </w:r>
          </w:p>
          <w:p w:rsidR="0066705F" w:rsidRPr="0066705F" w:rsidRDefault="0066705F" w:rsidP="006164A0">
            <w:pPr>
              <w:pStyle w:val="Odstavecseseznamem"/>
              <w:numPr>
                <w:ilvl w:val="0"/>
                <w:numId w:val="2"/>
              </w:numPr>
              <w:autoSpaceDE w:val="0"/>
              <w:autoSpaceDN w:val="0"/>
              <w:adjustRightInd w:val="0"/>
              <w:spacing w:before="60" w:after="60" w:line="240" w:lineRule="auto"/>
              <w:ind w:left="318"/>
              <w:jc w:val="left"/>
              <w:rPr>
                <w:rFonts w:cs="Arial-ItalicMT"/>
                <w:b/>
                <w:iCs/>
                <w:szCs w:val="22"/>
              </w:rPr>
            </w:pPr>
            <w:r>
              <w:rPr>
                <w:rFonts w:cs="Arial-ItalicMT"/>
                <w:iCs/>
                <w:szCs w:val="22"/>
              </w:rPr>
              <w:t>Omezení v rozvoji – železniční koridor (J); obchvat (Z), Borecké rybníky (S)</w:t>
            </w:r>
          </w:p>
          <w:p w:rsidR="0066705F" w:rsidRPr="0066705F" w:rsidRDefault="0066705F" w:rsidP="006164A0">
            <w:pPr>
              <w:pStyle w:val="Odstavecseseznamem"/>
              <w:numPr>
                <w:ilvl w:val="0"/>
                <w:numId w:val="2"/>
              </w:numPr>
              <w:autoSpaceDE w:val="0"/>
              <w:autoSpaceDN w:val="0"/>
              <w:adjustRightInd w:val="0"/>
              <w:spacing w:before="60" w:after="60" w:line="240" w:lineRule="auto"/>
              <w:ind w:left="318"/>
              <w:jc w:val="left"/>
              <w:rPr>
                <w:rFonts w:cs="Arial-ItalicMT"/>
                <w:b/>
                <w:iCs/>
                <w:szCs w:val="22"/>
              </w:rPr>
            </w:pPr>
            <w:r>
              <w:rPr>
                <w:rFonts w:cs="Arial-ItalicMT"/>
                <w:iCs/>
                <w:szCs w:val="22"/>
              </w:rPr>
              <w:t>Zvýšená ochrana ZPF (pásmo ochrany léčivých zdrojů)</w:t>
            </w:r>
          </w:p>
          <w:p w:rsidR="0066705F" w:rsidRPr="0066705F" w:rsidRDefault="0066705F" w:rsidP="006164A0">
            <w:pPr>
              <w:pStyle w:val="Odstavecseseznamem"/>
              <w:numPr>
                <w:ilvl w:val="0"/>
                <w:numId w:val="2"/>
              </w:numPr>
              <w:autoSpaceDE w:val="0"/>
              <w:autoSpaceDN w:val="0"/>
              <w:adjustRightInd w:val="0"/>
              <w:spacing w:before="60" w:after="60" w:line="240" w:lineRule="auto"/>
              <w:ind w:left="318"/>
              <w:jc w:val="left"/>
              <w:rPr>
                <w:rFonts w:cs="Arial-ItalicMT"/>
                <w:b/>
                <w:iCs/>
                <w:szCs w:val="22"/>
              </w:rPr>
            </w:pPr>
            <w:r>
              <w:rPr>
                <w:rFonts w:cs="Arial-ItalicMT"/>
                <w:iCs/>
                <w:szCs w:val="22"/>
              </w:rPr>
              <w:t>Omezení způsobené biokoridory</w:t>
            </w:r>
          </w:p>
          <w:p w:rsidR="0066705F" w:rsidRPr="00B16F4B" w:rsidRDefault="0066705F" w:rsidP="00B16F4B">
            <w:pPr>
              <w:autoSpaceDE w:val="0"/>
              <w:autoSpaceDN w:val="0"/>
              <w:adjustRightInd w:val="0"/>
              <w:spacing w:before="60" w:after="60" w:line="240" w:lineRule="auto"/>
              <w:ind w:left="-42"/>
              <w:jc w:val="left"/>
              <w:rPr>
                <w:rFonts w:cs="Arial-ItalicMT"/>
                <w:b/>
                <w:iCs/>
                <w:szCs w:val="22"/>
              </w:rPr>
            </w:pPr>
          </w:p>
        </w:tc>
      </w:tr>
      <w:tr w:rsidR="006008D1" w:rsidTr="002B7838">
        <w:tc>
          <w:tcPr>
            <w:tcW w:w="9452" w:type="dxa"/>
            <w:gridSpan w:val="4"/>
            <w:tcBorders>
              <w:top w:val="nil"/>
              <w:left w:val="single" w:sz="4" w:space="0" w:color="auto"/>
              <w:bottom w:val="single" w:sz="4" w:space="0" w:color="auto"/>
              <w:right w:val="single" w:sz="4" w:space="0" w:color="auto"/>
              <w:tl2br w:val="nil"/>
              <w:tr2bl w:val="nil"/>
            </w:tcBorders>
            <w:shd w:val="clear" w:color="auto" w:fill="DDE9EC"/>
            <w:vAlign w:val="center"/>
          </w:tcPr>
          <w:p w:rsidR="006008D1" w:rsidRDefault="006008D1" w:rsidP="002B7838">
            <w:pPr>
              <w:autoSpaceDE w:val="0"/>
              <w:autoSpaceDN w:val="0"/>
              <w:adjustRightInd w:val="0"/>
              <w:spacing w:before="60" w:after="60" w:line="240" w:lineRule="auto"/>
              <w:rPr>
                <w:rFonts w:cs="Arial-ItalicMT"/>
                <w:iCs/>
                <w:color w:val="372C74"/>
                <w:szCs w:val="22"/>
              </w:rPr>
            </w:pPr>
            <w:r>
              <w:rPr>
                <w:rFonts w:cs="Arial-ItalicMT"/>
                <w:iCs/>
                <w:color w:val="372C74"/>
                <w:szCs w:val="22"/>
              </w:rPr>
              <w:t>Komentář:</w:t>
            </w:r>
          </w:p>
          <w:p w:rsidR="00B16F4B" w:rsidRDefault="00B16F4B" w:rsidP="00B16F4B">
            <w:pPr>
              <w:autoSpaceDE w:val="0"/>
              <w:autoSpaceDN w:val="0"/>
              <w:adjustRightInd w:val="0"/>
              <w:spacing w:before="60" w:after="60" w:line="240" w:lineRule="auto"/>
              <w:rPr>
                <w:rFonts w:cs="Arial-ItalicMT"/>
                <w:iCs/>
                <w:color w:val="372C74"/>
                <w:szCs w:val="22"/>
              </w:rPr>
            </w:pPr>
            <w:r>
              <w:rPr>
                <w:rFonts w:cs="Arial-ItalicMT"/>
                <w:iCs/>
                <w:color w:val="372C74"/>
                <w:szCs w:val="22"/>
              </w:rPr>
              <w:t>Typickou charakteristikou posuzovaného území je vysoká koncentrace obyvatel v urbanizované zástavbě centrální části města a územní rozvoj této části města je omezeně možný pouze východním směrem. Potenciálem pro územní rozvoj města tak zůstává některá z místních částí.</w:t>
            </w:r>
          </w:p>
          <w:p w:rsidR="00B16F4B" w:rsidRDefault="00B16F4B" w:rsidP="00B16F4B">
            <w:pPr>
              <w:autoSpaceDE w:val="0"/>
              <w:autoSpaceDN w:val="0"/>
              <w:adjustRightInd w:val="0"/>
              <w:spacing w:before="60" w:after="60" w:line="240" w:lineRule="auto"/>
              <w:rPr>
                <w:rFonts w:cs="Arial-ItalicMT"/>
                <w:iCs/>
                <w:color w:val="372C74"/>
                <w:szCs w:val="22"/>
              </w:rPr>
            </w:pPr>
            <w:r>
              <w:rPr>
                <w:rFonts w:cs="Arial-ItalicMT"/>
                <w:iCs/>
                <w:color w:val="372C74"/>
                <w:szCs w:val="22"/>
              </w:rPr>
              <w:t>Vodní plochy mají více funkcí – patří mezi ně estetická, rekreační, přírodní nebo hospodářská. Tyto funkce lze dále vhodně doplňovat a rozvíjet.</w:t>
            </w:r>
          </w:p>
          <w:p w:rsidR="00250266" w:rsidRPr="00053817" w:rsidRDefault="00B16F4B" w:rsidP="00B16F4B">
            <w:pPr>
              <w:autoSpaceDE w:val="0"/>
              <w:autoSpaceDN w:val="0"/>
              <w:adjustRightInd w:val="0"/>
              <w:spacing w:before="60" w:after="60" w:line="240" w:lineRule="auto"/>
              <w:rPr>
                <w:rFonts w:cs="Arial-ItalicMT"/>
                <w:iCs/>
                <w:color w:val="372C74"/>
                <w:szCs w:val="22"/>
              </w:rPr>
            </w:pPr>
            <w:r>
              <w:rPr>
                <w:rFonts w:cs="Arial-ItalicMT"/>
                <w:iCs/>
                <w:color w:val="372C74"/>
                <w:szCs w:val="22"/>
              </w:rPr>
              <w:t>Nezanedbatelným faktorem pro rozvoj města je bezprostřední sousedství s regionálním centrem, jehož gravitační účinky je nezbytné při plánování rozvoje území respektovat.</w:t>
            </w:r>
          </w:p>
        </w:tc>
      </w:tr>
    </w:tbl>
    <w:p w:rsidR="006008D1" w:rsidRDefault="006008D1" w:rsidP="006008D1"/>
    <w:p w:rsidR="00E538EE" w:rsidRDefault="00E538EE" w:rsidP="00F63E3F"/>
    <w:p w:rsidR="00E538EE" w:rsidRDefault="00E538EE">
      <w:pPr>
        <w:spacing w:before="0" w:after="0" w:line="240" w:lineRule="auto"/>
        <w:jc w:val="left"/>
        <w:rPr>
          <w:color w:val="1B1639"/>
          <w:spacing w:val="15"/>
          <w:sz w:val="24"/>
          <w:szCs w:val="22"/>
        </w:rPr>
      </w:pPr>
      <w:r>
        <w:br w:type="page"/>
      </w:r>
    </w:p>
    <w:p w:rsidR="00271D73" w:rsidRDefault="009F5528" w:rsidP="0075380D">
      <w:pPr>
        <w:pStyle w:val="Nadpis3"/>
        <w:spacing w:line="240" w:lineRule="auto"/>
      </w:pPr>
      <w:bookmarkStart w:id="45" w:name="_Toc516058310"/>
      <w:r>
        <w:lastRenderedPageBreak/>
        <w:t>P</w:t>
      </w:r>
      <w:r w:rsidR="003E2F83">
        <w:t>.1.</w:t>
      </w:r>
      <w:r w:rsidR="00271D73" w:rsidRPr="005F0699">
        <w:t xml:space="preserve">2 </w:t>
      </w:r>
      <w:r w:rsidR="008305C8">
        <w:t>Obyvatelstvo</w:t>
      </w:r>
      <w:bookmarkEnd w:id="45"/>
    </w:p>
    <w:p w:rsidR="008305C8" w:rsidRDefault="008305C8" w:rsidP="00981AE9"/>
    <w:p w:rsidR="00F63E3F" w:rsidRPr="007B0DDF" w:rsidRDefault="00F63E3F" w:rsidP="00F63E3F">
      <w:pPr>
        <w:pStyle w:val="Nadpis4"/>
        <w:pBdr>
          <w:top w:val="none" w:sz="0" w:space="0" w:color="auto"/>
          <w:left w:val="none" w:sz="0" w:space="0" w:color="auto"/>
        </w:pBdr>
        <w:shd w:val="clear" w:color="auto" w:fill="372C74"/>
        <w:spacing w:before="0" w:after="200"/>
        <w:ind w:firstLine="0"/>
        <w:rPr>
          <w:color w:val="auto"/>
          <w:spacing w:val="4"/>
          <w:szCs w:val="24"/>
        </w:rPr>
      </w:pPr>
      <w:bookmarkStart w:id="46" w:name="_Toc373141630"/>
      <w:bookmarkStart w:id="47" w:name="_Toc516058311"/>
      <w:r w:rsidRPr="007B0DDF">
        <w:rPr>
          <w:color w:val="auto"/>
          <w:spacing w:val="4"/>
          <w:szCs w:val="24"/>
        </w:rPr>
        <w:t>I. Demograf</w:t>
      </w:r>
      <w:bookmarkEnd w:id="46"/>
      <w:r w:rsidR="008305C8" w:rsidRPr="007B0DDF">
        <w:rPr>
          <w:color w:val="auto"/>
          <w:spacing w:val="4"/>
          <w:szCs w:val="24"/>
        </w:rPr>
        <w:t>ická situace</w:t>
      </w:r>
      <w:bookmarkEnd w:id="47"/>
      <w:r w:rsidRPr="007B0DDF">
        <w:rPr>
          <w:color w:val="auto"/>
          <w:spacing w:val="4"/>
          <w:szCs w:val="24"/>
        </w:rPr>
        <w:t xml:space="preserve"> </w:t>
      </w:r>
    </w:p>
    <w:p w:rsidR="00155DC6" w:rsidRPr="004A3E24" w:rsidRDefault="00155DC6" w:rsidP="00155DC6">
      <w:pPr>
        <w:pStyle w:val="Nadpis6"/>
        <w:rPr>
          <w:rFonts w:asciiTheme="majorHAnsi" w:hAnsiTheme="majorHAnsi"/>
        </w:rPr>
      </w:pPr>
      <w:r w:rsidRPr="004A3E24">
        <w:rPr>
          <w:rFonts w:asciiTheme="majorHAnsi" w:hAnsiTheme="majorHAnsi"/>
        </w:rPr>
        <w:t>Počet obyvatel</w:t>
      </w:r>
    </w:p>
    <w:p w:rsidR="00155DC6" w:rsidRDefault="00155DC6" w:rsidP="00155DC6">
      <w:pPr>
        <w:rPr>
          <w:rFonts w:asciiTheme="majorHAnsi" w:hAnsiTheme="majorHAnsi"/>
        </w:rPr>
      </w:pPr>
      <w:r w:rsidRPr="001C4D71">
        <w:rPr>
          <w:rFonts w:asciiTheme="majorHAnsi" w:hAnsiTheme="majorHAnsi"/>
        </w:rPr>
        <w:t>Podle posledních dostupných statistických údajů ži</w:t>
      </w:r>
      <w:r w:rsidR="00886EED">
        <w:rPr>
          <w:rFonts w:asciiTheme="majorHAnsi" w:hAnsiTheme="majorHAnsi"/>
        </w:rPr>
        <w:t>lo</w:t>
      </w:r>
      <w:r w:rsidRPr="001C4D71">
        <w:rPr>
          <w:rFonts w:asciiTheme="majorHAnsi" w:hAnsiTheme="majorHAnsi"/>
        </w:rPr>
        <w:t xml:space="preserve"> ve městě </w:t>
      </w:r>
      <w:r w:rsidR="00886EED">
        <w:rPr>
          <w:rFonts w:asciiTheme="majorHAnsi" w:hAnsiTheme="majorHAnsi"/>
        </w:rPr>
        <w:t xml:space="preserve">k 31. 12. 2016 </w:t>
      </w:r>
      <w:r w:rsidRPr="001C4D71">
        <w:rPr>
          <w:rFonts w:asciiTheme="majorHAnsi" w:hAnsiTheme="majorHAnsi"/>
        </w:rPr>
        <w:t>celkem 16</w:t>
      </w:r>
      <w:r w:rsidR="00886EED">
        <w:rPr>
          <w:rFonts w:asciiTheme="majorHAnsi" w:hAnsiTheme="majorHAnsi"/>
        </w:rPr>
        <w:t> </w:t>
      </w:r>
      <w:r w:rsidR="00564D56">
        <w:rPr>
          <w:rFonts w:asciiTheme="majorHAnsi" w:hAnsiTheme="majorHAnsi"/>
        </w:rPr>
        <w:t>949</w:t>
      </w:r>
      <w:r w:rsidR="00886EED">
        <w:rPr>
          <w:rFonts w:asciiTheme="majorHAnsi" w:hAnsiTheme="majorHAnsi"/>
        </w:rPr>
        <w:t> </w:t>
      </w:r>
      <w:r w:rsidRPr="001C4D71">
        <w:rPr>
          <w:rFonts w:asciiTheme="majorHAnsi" w:hAnsiTheme="majorHAnsi"/>
        </w:rPr>
        <w:t>obyvatel. Od roku 2000 do roku 201</w:t>
      </w:r>
      <w:r w:rsidR="00564D56">
        <w:rPr>
          <w:rFonts w:asciiTheme="majorHAnsi" w:hAnsiTheme="majorHAnsi"/>
        </w:rPr>
        <w:t>6</w:t>
      </w:r>
      <w:r w:rsidRPr="001C4D71">
        <w:rPr>
          <w:rFonts w:asciiTheme="majorHAnsi" w:hAnsiTheme="majorHAnsi"/>
        </w:rPr>
        <w:t xml:space="preserve"> se počet obyvatel postupně snižuje, resp. pokles za sledované období činí </w:t>
      </w:r>
      <w:r w:rsidR="00886EED">
        <w:rPr>
          <w:rFonts w:asciiTheme="majorHAnsi" w:hAnsiTheme="majorHAnsi"/>
        </w:rPr>
        <w:t>900 </w:t>
      </w:r>
      <w:r w:rsidRPr="001C4D71">
        <w:rPr>
          <w:rFonts w:asciiTheme="majorHAnsi" w:hAnsiTheme="majorHAnsi"/>
        </w:rPr>
        <w:t xml:space="preserve">obyvatel. </w:t>
      </w:r>
    </w:p>
    <w:p w:rsidR="00F42013" w:rsidRDefault="00987817" w:rsidP="00F42013">
      <w:pPr>
        <w:rPr>
          <w:rFonts w:asciiTheme="majorHAnsi" w:hAnsiTheme="majorHAnsi"/>
        </w:rPr>
      </w:pPr>
      <w:r>
        <w:rPr>
          <w:rFonts w:asciiTheme="majorHAnsi" w:hAnsiTheme="majorHAnsi"/>
        </w:rPr>
        <w:t>Úbytek obyvatel</w:t>
      </w:r>
      <w:r w:rsidR="00F42013" w:rsidRPr="001C4D71">
        <w:rPr>
          <w:rFonts w:asciiTheme="majorHAnsi" w:hAnsiTheme="majorHAnsi"/>
        </w:rPr>
        <w:t xml:space="preserve"> je dán vysokou měrou stěhováním lidí za prací do větších měst, ale také migrací mladých lidí </w:t>
      </w:r>
      <w:r w:rsidR="00AE2588">
        <w:rPr>
          <w:rFonts w:asciiTheme="majorHAnsi" w:hAnsiTheme="majorHAnsi"/>
        </w:rPr>
        <w:t>v produktivním věku</w:t>
      </w:r>
      <w:r w:rsidR="00F42013" w:rsidRPr="001C4D71">
        <w:rPr>
          <w:rFonts w:asciiTheme="majorHAnsi" w:hAnsiTheme="majorHAnsi"/>
        </w:rPr>
        <w:t xml:space="preserve">. Odchod mladých obyvatel města je dobře vidět i na průměrném věkovém složení obyvatelstva města, které se za sledované období zvýšilo o 4,2 roky. </w:t>
      </w:r>
      <w:r>
        <w:rPr>
          <w:rFonts w:asciiTheme="majorHAnsi" w:hAnsiTheme="majorHAnsi"/>
        </w:rPr>
        <w:t xml:space="preserve">Kromě prostého úbytku obyvatel a zvyšování průměrného věku obyvatelstva tak lze hovořit o městském odlivu </w:t>
      </w:r>
      <w:r w:rsidR="00D439AB">
        <w:rPr>
          <w:rFonts w:asciiTheme="majorHAnsi" w:hAnsiTheme="majorHAnsi"/>
        </w:rPr>
        <w:t xml:space="preserve">mladých </w:t>
      </w:r>
      <w:r>
        <w:rPr>
          <w:rFonts w:asciiTheme="majorHAnsi" w:hAnsiTheme="majorHAnsi"/>
        </w:rPr>
        <w:t>mozků</w:t>
      </w:r>
      <w:r w:rsidR="00D439AB">
        <w:rPr>
          <w:rFonts w:asciiTheme="majorHAnsi" w:hAnsiTheme="majorHAnsi"/>
        </w:rPr>
        <w:t>.</w:t>
      </w:r>
    </w:p>
    <w:p w:rsidR="00F203CA" w:rsidRDefault="00F203CA" w:rsidP="00F203CA">
      <w:pPr>
        <w:rPr>
          <w:rFonts w:asciiTheme="majorHAnsi" w:hAnsiTheme="majorHAnsi"/>
          <w:sz w:val="18"/>
          <w:szCs w:val="18"/>
        </w:rPr>
      </w:pPr>
      <w:bookmarkStart w:id="48" w:name="_Toc516059010"/>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684E79">
        <w:rPr>
          <w:rFonts w:asciiTheme="majorHAnsi" w:hAnsiTheme="majorHAnsi"/>
          <w:sz w:val="18"/>
          <w:szCs w:val="18"/>
        </w:rPr>
        <w:t xml:space="preserve">Stav obyvatelstva a průměrný věk </w:t>
      </w:r>
      <w:r>
        <w:rPr>
          <w:rFonts w:asciiTheme="majorHAnsi" w:hAnsiTheme="majorHAnsi"/>
          <w:sz w:val="18"/>
          <w:szCs w:val="18"/>
        </w:rPr>
        <w:t>v</w:t>
      </w:r>
      <w:r w:rsidR="00150C03">
        <w:rPr>
          <w:rFonts w:asciiTheme="majorHAnsi" w:hAnsiTheme="majorHAnsi"/>
          <w:sz w:val="18"/>
          <w:szCs w:val="18"/>
        </w:rPr>
        <w:t> </w:t>
      </w:r>
      <w:r w:rsidR="00564D56">
        <w:rPr>
          <w:rFonts w:asciiTheme="majorHAnsi" w:hAnsiTheme="majorHAnsi"/>
          <w:sz w:val="18"/>
          <w:szCs w:val="18"/>
        </w:rPr>
        <w:t>Ostrově</w:t>
      </w:r>
      <w:bookmarkEnd w:id="48"/>
    </w:p>
    <w:tbl>
      <w:tblPr>
        <w:tblStyle w:val="Mkatabulky"/>
        <w:tblW w:w="0" w:type="auto"/>
        <w:tblLayout w:type="fixed"/>
        <w:tblLook w:val="04A0" w:firstRow="1" w:lastRow="0" w:firstColumn="1" w:lastColumn="0" w:noHBand="0" w:noVBand="1"/>
      </w:tblPr>
      <w:tblGrid>
        <w:gridCol w:w="817"/>
        <w:gridCol w:w="992"/>
        <w:gridCol w:w="1843"/>
        <w:gridCol w:w="1843"/>
        <w:gridCol w:w="1843"/>
        <w:gridCol w:w="1134"/>
        <w:gridCol w:w="1056"/>
      </w:tblGrid>
      <w:tr w:rsidR="00150C03" w:rsidRPr="00F24E60" w:rsidTr="002915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150C03" w:rsidRPr="00F24E60" w:rsidRDefault="00150C03" w:rsidP="002159B4">
            <w:pPr>
              <w:widowControl w:val="0"/>
              <w:autoSpaceDE w:val="0"/>
              <w:autoSpaceDN w:val="0"/>
              <w:adjustRightInd w:val="0"/>
              <w:spacing w:before="0" w:after="0" w:line="240" w:lineRule="auto"/>
              <w:jc w:val="center"/>
              <w:rPr>
                <w:rFonts w:asciiTheme="majorHAnsi" w:hAnsiTheme="majorHAnsi" w:cs="Arial"/>
                <w:b/>
                <w:bCs/>
                <w:spacing w:val="0"/>
                <w:sz w:val="18"/>
                <w:szCs w:val="18"/>
                <w:lang w:bidi="ar-SA"/>
              </w:rPr>
            </w:pPr>
            <w:r w:rsidRPr="00F24E60">
              <w:rPr>
                <w:rFonts w:asciiTheme="majorHAnsi" w:hAnsiTheme="majorHAnsi" w:cs="Arial"/>
                <w:b/>
                <w:bCs/>
                <w:spacing w:val="0"/>
                <w:sz w:val="18"/>
                <w:szCs w:val="18"/>
                <w:lang w:bidi="ar-SA"/>
              </w:rPr>
              <w:t>Rok</w:t>
            </w:r>
          </w:p>
        </w:tc>
        <w:tc>
          <w:tcPr>
            <w:tcW w:w="992" w:type="dxa"/>
          </w:tcPr>
          <w:p w:rsidR="00150C03" w:rsidRPr="00F24E60" w:rsidRDefault="00980BC8" w:rsidP="00150C03">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bCs/>
                <w:spacing w:val="0"/>
                <w:sz w:val="18"/>
                <w:szCs w:val="18"/>
                <w:lang w:bidi="ar-SA"/>
              </w:rPr>
            </w:pPr>
            <w:hyperlink r:id="rId24" w:history="1">
              <w:r w:rsidR="00150C03" w:rsidRPr="00F24E60">
                <w:rPr>
                  <w:rFonts w:asciiTheme="majorHAnsi" w:hAnsiTheme="majorHAnsi" w:cs="Arial"/>
                  <w:b/>
                  <w:bCs/>
                  <w:spacing w:val="0"/>
                  <w:sz w:val="18"/>
                  <w:szCs w:val="18"/>
                  <w:lang w:bidi="ar-SA"/>
                </w:rPr>
                <w:t>Celkový počet obyvatel k 31.12.</w:t>
              </w:r>
            </w:hyperlink>
          </w:p>
        </w:tc>
        <w:tc>
          <w:tcPr>
            <w:tcW w:w="1843" w:type="dxa"/>
          </w:tcPr>
          <w:p w:rsidR="00291536" w:rsidRDefault="00291536" w:rsidP="00150C03">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hint="eastAsia"/>
                <w:b/>
                <w:sz w:val="18"/>
                <w:szCs w:val="18"/>
              </w:rPr>
            </w:pPr>
          </w:p>
          <w:p w:rsidR="00150C03" w:rsidRPr="00F24E60" w:rsidRDefault="00150C03" w:rsidP="00150C03">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bCs/>
                <w:spacing w:val="0"/>
                <w:sz w:val="18"/>
                <w:szCs w:val="18"/>
                <w:lang w:bidi="ar-SA"/>
              </w:rPr>
            </w:pPr>
            <w:r w:rsidRPr="00F24E60">
              <w:rPr>
                <w:b/>
                <w:sz w:val="18"/>
                <w:szCs w:val="18"/>
              </w:rPr>
              <w:t>0 až 14</w:t>
            </w:r>
          </w:p>
        </w:tc>
        <w:tc>
          <w:tcPr>
            <w:tcW w:w="1843" w:type="dxa"/>
          </w:tcPr>
          <w:p w:rsidR="00150C03" w:rsidRPr="00F24E60" w:rsidRDefault="00150C03" w:rsidP="00150C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F24E60">
              <w:rPr>
                <w:rFonts w:asciiTheme="majorHAnsi" w:hAnsiTheme="majorHAnsi"/>
                <w:b/>
                <w:sz w:val="18"/>
                <w:szCs w:val="18"/>
              </w:rPr>
              <w:t>v tom</w:t>
            </w:r>
          </w:p>
          <w:p w:rsidR="00150C03" w:rsidRPr="00F24E60" w:rsidRDefault="00150C03" w:rsidP="00150C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F24E60">
              <w:rPr>
                <w:rFonts w:asciiTheme="majorHAnsi" w:hAnsiTheme="majorHAnsi"/>
                <w:b/>
                <w:sz w:val="18"/>
                <w:szCs w:val="18"/>
              </w:rPr>
              <w:t>15 až 64</w:t>
            </w:r>
          </w:p>
        </w:tc>
        <w:tc>
          <w:tcPr>
            <w:tcW w:w="1843" w:type="dxa"/>
          </w:tcPr>
          <w:p w:rsidR="00150C03" w:rsidRPr="00F24E60" w:rsidRDefault="00150C03" w:rsidP="00150C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p>
          <w:p w:rsidR="00150C03" w:rsidRPr="00F24E60" w:rsidRDefault="00150C03" w:rsidP="00150C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F24E60">
              <w:rPr>
                <w:rFonts w:asciiTheme="majorHAnsi" w:hAnsiTheme="majorHAnsi"/>
                <w:b/>
                <w:sz w:val="18"/>
                <w:szCs w:val="18"/>
              </w:rPr>
              <w:t>65 a více</w:t>
            </w:r>
          </w:p>
        </w:tc>
        <w:tc>
          <w:tcPr>
            <w:tcW w:w="1134" w:type="dxa"/>
          </w:tcPr>
          <w:p w:rsidR="00150C03" w:rsidRPr="00F24E60" w:rsidRDefault="00150C03" w:rsidP="00150C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F24E60">
              <w:rPr>
                <w:rFonts w:asciiTheme="majorHAnsi" w:hAnsiTheme="majorHAnsi"/>
                <w:b/>
                <w:sz w:val="18"/>
                <w:szCs w:val="18"/>
              </w:rPr>
              <w:t>Průměrný věk</w:t>
            </w:r>
          </w:p>
        </w:tc>
        <w:tc>
          <w:tcPr>
            <w:tcW w:w="1056" w:type="dxa"/>
          </w:tcPr>
          <w:p w:rsidR="00150C03" w:rsidRPr="00F24E60" w:rsidRDefault="00150C03" w:rsidP="00150C03">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F24E60">
              <w:rPr>
                <w:rFonts w:asciiTheme="majorHAnsi" w:hAnsiTheme="majorHAnsi"/>
                <w:b/>
                <w:sz w:val="18"/>
                <w:szCs w:val="18"/>
              </w:rPr>
              <w:t>Index stáří</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2000</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w:t>
            </w:r>
            <w:r>
              <w:rPr>
                <w:sz w:val="16"/>
                <w:szCs w:val="16"/>
              </w:rPr>
              <w:t xml:space="preserve"> </w:t>
            </w:r>
            <w:r w:rsidRPr="00886EED">
              <w:rPr>
                <w:sz w:val="16"/>
                <w:szCs w:val="16"/>
              </w:rPr>
              <w:t>849</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893</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w:t>
            </w:r>
            <w:r>
              <w:rPr>
                <w:sz w:val="16"/>
                <w:szCs w:val="16"/>
              </w:rPr>
              <w:t xml:space="preserve"> </w:t>
            </w:r>
            <w:r w:rsidRPr="00150C03">
              <w:rPr>
                <w:sz w:val="16"/>
                <w:szCs w:val="16"/>
              </w:rPr>
              <w:t>571</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385</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38,3</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82,4</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2001</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w:t>
            </w:r>
            <w:r>
              <w:rPr>
                <w:sz w:val="16"/>
                <w:szCs w:val="16"/>
              </w:rPr>
              <w:t xml:space="preserve"> </w:t>
            </w:r>
            <w:r w:rsidRPr="00886EED">
              <w:rPr>
                <w:sz w:val="16"/>
                <w:szCs w:val="16"/>
              </w:rPr>
              <w:t>398</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759</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w:t>
            </w:r>
            <w:r>
              <w:rPr>
                <w:sz w:val="16"/>
                <w:szCs w:val="16"/>
              </w:rPr>
              <w:t xml:space="preserve"> </w:t>
            </w:r>
            <w:r w:rsidRPr="00150C03">
              <w:rPr>
                <w:sz w:val="16"/>
                <w:szCs w:val="16"/>
              </w:rPr>
              <w:t>250</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389</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38,7</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86,6</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2002</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w:t>
            </w:r>
            <w:r>
              <w:rPr>
                <w:sz w:val="16"/>
                <w:szCs w:val="16"/>
              </w:rPr>
              <w:t xml:space="preserve"> </w:t>
            </w:r>
            <w:r w:rsidRPr="00886EED">
              <w:rPr>
                <w:sz w:val="16"/>
                <w:szCs w:val="16"/>
              </w:rPr>
              <w:t>376</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751</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w:t>
            </w:r>
            <w:r>
              <w:rPr>
                <w:sz w:val="16"/>
                <w:szCs w:val="16"/>
              </w:rPr>
              <w:t xml:space="preserve"> </w:t>
            </w:r>
            <w:r w:rsidRPr="00150C03">
              <w:rPr>
                <w:sz w:val="16"/>
                <w:szCs w:val="16"/>
              </w:rPr>
              <w:t>194</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431</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38,8</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88,4</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2003</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w:t>
            </w:r>
            <w:r>
              <w:rPr>
                <w:sz w:val="16"/>
                <w:szCs w:val="16"/>
              </w:rPr>
              <w:t xml:space="preserve"> </w:t>
            </w:r>
            <w:r w:rsidRPr="00886EED">
              <w:rPr>
                <w:sz w:val="16"/>
                <w:szCs w:val="16"/>
              </w:rPr>
              <w:t>206</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610</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w:t>
            </w:r>
            <w:r>
              <w:rPr>
                <w:sz w:val="16"/>
                <w:szCs w:val="16"/>
              </w:rPr>
              <w:t xml:space="preserve"> </w:t>
            </w:r>
            <w:r w:rsidRPr="00150C03">
              <w:rPr>
                <w:sz w:val="16"/>
                <w:szCs w:val="16"/>
              </w:rPr>
              <w:t>142</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454</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39,1</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94,0</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2004</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w:t>
            </w:r>
            <w:r>
              <w:rPr>
                <w:sz w:val="16"/>
                <w:szCs w:val="16"/>
              </w:rPr>
              <w:t xml:space="preserve"> </w:t>
            </w:r>
            <w:r w:rsidRPr="00886EED">
              <w:rPr>
                <w:sz w:val="16"/>
                <w:szCs w:val="16"/>
              </w:rPr>
              <w:t>193</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512</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w:t>
            </w:r>
            <w:r>
              <w:rPr>
                <w:sz w:val="16"/>
                <w:szCs w:val="16"/>
              </w:rPr>
              <w:t xml:space="preserve"> </w:t>
            </w:r>
            <w:r w:rsidRPr="00150C03">
              <w:rPr>
                <w:sz w:val="16"/>
                <w:szCs w:val="16"/>
              </w:rPr>
              <w:t>173</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w:t>
            </w:r>
            <w:r>
              <w:rPr>
                <w:sz w:val="16"/>
                <w:szCs w:val="16"/>
              </w:rPr>
              <w:t xml:space="preserve"> </w:t>
            </w:r>
            <w:r w:rsidRPr="00150C03">
              <w:rPr>
                <w:sz w:val="16"/>
                <w:szCs w:val="16"/>
              </w:rPr>
              <w:t>508</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39,4</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99,8</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2005</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17 111</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2 433</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12 133</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2 545</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39,8</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104,6</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2006</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17 066</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2 367</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12 120</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2 579</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40,1</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109,0</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2007</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17 250</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2 377</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12 266</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2 607</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40,2</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109,7</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2008</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17 357</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2 364</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12 334</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2 659</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40,4</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112,5</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2009</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17 230</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2 338</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12 202</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2 690</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40,7</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115,1</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2010</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17 305</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2 393</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12 191</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2 721</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40,8</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113,7</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2011</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17 222</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2 423</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12 023</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2 776</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41,3</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114,6</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sidRPr="001C4D71">
              <w:rPr>
                <w:rFonts w:asciiTheme="majorHAnsi" w:hAnsiTheme="majorHAnsi" w:cs="Arial"/>
                <w:bCs/>
                <w:spacing w:val="0"/>
                <w:sz w:val="16"/>
                <w:szCs w:val="16"/>
                <w:lang w:bidi="ar-SA"/>
              </w:rPr>
              <w:t>2012</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17 235</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2 471</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11 884</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2 880</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41,5</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116,6</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Pr>
                <w:rFonts w:asciiTheme="majorHAnsi" w:hAnsiTheme="majorHAnsi" w:cs="Arial"/>
                <w:bCs/>
                <w:spacing w:val="0"/>
                <w:sz w:val="16"/>
                <w:szCs w:val="16"/>
                <w:lang w:bidi="ar-SA"/>
              </w:rPr>
              <w:t>2013</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17 182</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2 491</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11 729</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2 962</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41,8</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118,9</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Pr>
                <w:rFonts w:asciiTheme="majorHAnsi" w:hAnsiTheme="majorHAnsi" w:cs="Arial"/>
                <w:bCs/>
                <w:spacing w:val="0"/>
                <w:sz w:val="16"/>
                <w:szCs w:val="16"/>
                <w:lang w:bidi="ar-SA"/>
              </w:rPr>
              <w:t>2014</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17 089</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2 507</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11 563</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3 019</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42,1</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120,4</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Pr="001C4D71"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Pr>
                <w:rFonts w:asciiTheme="majorHAnsi" w:hAnsiTheme="majorHAnsi" w:cs="Arial"/>
                <w:bCs/>
                <w:spacing w:val="0"/>
                <w:sz w:val="16"/>
                <w:szCs w:val="16"/>
                <w:lang w:bidi="ar-SA"/>
              </w:rPr>
              <w:t>2015</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17 079</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2 568</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11 418</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3 093</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42,3</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120,4</w:t>
            </w:r>
          </w:p>
        </w:tc>
      </w:tr>
      <w:tr w:rsidR="002159B4" w:rsidTr="00291536">
        <w:tc>
          <w:tcPr>
            <w:cnfStyle w:val="001000000000" w:firstRow="0" w:lastRow="0" w:firstColumn="1" w:lastColumn="0" w:oddVBand="0" w:evenVBand="0" w:oddHBand="0" w:evenHBand="0" w:firstRowFirstColumn="0" w:firstRowLastColumn="0" w:lastRowFirstColumn="0" w:lastRowLastColumn="0"/>
            <w:tcW w:w="817" w:type="dxa"/>
          </w:tcPr>
          <w:p w:rsidR="002159B4" w:rsidRDefault="002159B4" w:rsidP="002159B4">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Pr>
                <w:rFonts w:asciiTheme="majorHAnsi" w:hAnsiTheme="majorHAnsi" w:cs="Arial"/>
                <w:bCs/>
                <w:spacing w:val="0"/>
                <w:sz w:val="16"/>
                <w:szCs w:val="16"/>
                <w:lang w:bidi="ar-SA"/>
              </w:rPr>
              <w:t>2016</w:t>
            </w:r>
          </w:p>
        </w:tc>
        <w:tc>
          <w:tcPr>
            <w:tcW w:w="992" w:type="dxa"/>
          </w:tcPr>
          <w:p w:rsidR="002159B4" w:rsidRPr="00886EED"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886EED">
              <w:rPr>
                <w:sz w:val="16"/>
                <w:szCs w:val="16"/>
              </w:rPr>
              <w:t>16 949</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2 569</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11 197</w:t>
            </w:r>
          </w:p>
        </w:tc>
        <w:tc>
          <w:tcPr>
            <w:tcW w:w="1843" w:type="dxa"/>
          </w:tcPr>
          <w:p w:rsidR="002159B4" w:rsidRPr="00150C03"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150C03">
              <w:rPr>
                <w:sz w:val="16"/>
                <w:szCs w:val="16"/>
              </w:rPr>
              <w:t>3 183</w:t>
            </w:r>
          </w:p>
        </w:tc>
        <w:tc>
          <w:tcPr>
            <w:tcW w:w="1134"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42,6</w:t>
            </w:r>
          </w:p>
        </w:tc>
        <w:tc>
          <w:tcPr>
            <w:tcW w:w="1056" w:type="dxa"/>
          </w:tcPr>
          <w:p w:rsidR="002159B4" w:rsidRPr="002159B4" w:rsidRDefault="002159B4" w:rsidP="002159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2159B4">
              <w:rPr>
                <w:sz w:val="16"/>
                <w:szCs w:val="16"/>
              </w:rPr>
              <w:t>123,9</w:t>
            </w:r>
          </w:p>
        </w:tc>
      </w:tr>
    </w:tbl>
    <w:p w:rsidR="00F203CA" w:rsidRDefault="00F203CA" w:rsidP="00F203CA">
      <w:pPr>
        <w:spacing w:before="0" w:after="120"/>
        <w:rPr>
          <w:rFonts w:asciiTheme="majorHAnsi" w:hAnsiTheme="majorHAnsi"/>
          <w:sz w:val="16"/>
          <w:szCs w:val="16"/>
        </w:rPr>
      </w:pPr>
      <w:r w:rsidRPr="001C4D71">
        <w:rPr>
          <w:rFonts w:asciiTheme="majorHAnsi" w:hAnsiTheme="majorHAnsi"/>
          <w:sz w:val="16"/>
          <w:szCs w:val="16"/>
        </w:rPr>
        <w:t xml:space="preserve">Zdroj: ČSÚ – veřejná databáze </w:t>
      </w:r>
      <w:r w:rsidRPr="001C4D71">
        <w:rPr>
          <w:rStyle w:val="Znakapoznpodarou"/>
          <w:rFonts w:asciiTheme="majorHAnsi" w:hAnsiTheme="majorHAnsi"/>
          <w:sz w:val="16"/>
          <w:szCs w:val="16"/>
        </w:rPr>
        <w:footnoteReference w:id="5"/>
      </w:r>
    </w:p>
    <w:p w:rsidR="0008590C" w:rsidRDefault="0008590C" w:rsidP="00F203CA">
      <w:pPr>
        <w:spacing w:before="0" w:after="120"/>
        <w:rPr>
          <w:rFonts w:asciiTheme="majorHAnsi" w:hAnsiTheme="majorHAnsi"/>
          <w:sz w:val="16"/>
          <w:szCs w:val="16"/>
        </w:rPr>
      </w:pPr>
    </w:p>
    <w:p w:rsidR="00674240" w:rsidRDefault="00674240" w:rsidP="00674240">
      <w:pPr>
        <w:spacing w:before="0" w:after="120"/>
        <w:rPr>
          <w:rFonts w:asciiTheme="majorHAnsi" w:hAnsiTheme="majorHAnsi"/>
        </w:rPr>
      </w:pPr>
      <w:bookmarkStart w:id="49" w:name="_Toc516059011"/>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674240">
        <w:rPr>
          <w:rFonts w:asciiTheme="minorHAnsi" w:hAnsiTheme="minorHAnsi" w:cs="Arial-ItalicMT"/>
          <w:iCs/>
          <w:sz w:val="18"/>
          <w:szCs w:val="18"/>
        </w:rPr>
        <w:t>Porovnání vybraných parametrů veřejného zdraví</w:t>
      </w:r>
      <w:r w:rsidR="00D26007">
        <w:rPr>
          <w:rFonts w:asciiTheme="minorHAnsi" w:hAnsiTheme="minorHAnsi" w:cs="Arial-ItalicMT"/>
          <w:iCs/>
          <w:sz w:val="18"/>
          <w:szCs w:val="18"/>
        </w:rPr>
        <w:t xml:space="preserve"> – index potratovosti</w:t>
      </w:r>
      <w:bookmarkEnd w:id="49"/>
    </w:p>
    <w:tbl>
      <w:tblPr>
        <w:tblStyle w:val="Mkatabulky"/>
        <w:tblW w:w="6062" w:type="dxa"/>
        <w:tblLook w:val="04A0" w:firstRow="1" w:lastRow="0" w:firstColumn="1" w:lastColumn="0" w:noHBand="0" w:noVBand="1"/>
      </w:tblPr>
      <w:tblGrid>
        <w:gridCol w:w="1515"/>
        <w:gridCol w:w="1516"/>
        <w:gridCol w:w="1515"/>
        <w:gridCol w:w="1516"/>
      </w:tblGrid>
      <w:tr w:rsidR="00D26007" w:rsidRPr="002159B4" w:rsidTr="00D260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rsidR="00D26007" w:rsidRPr="002159B4" w:rsidRDefault="00D26007" w:rsidP="00D439AB">
            <w:pPr>
              <w:spacing w:before="0" w:after="0" w:line="240" w:lineRule="auto"/>
              <w:jc w:val="center"/>
              <w:rPr>
                <w:rFonts w:asciiTheme="minorHAnsi" w:hAnsiTheme="minorHAnsi"/>
                <w:b/>
                <w:sz w:val="18"/>
                <w:szCs w:val="18"/>
              </w:rPr>
            </w:pPr>
            <w:r w:rsidRPr="002159B4">
              <w:rPr>
                <w:rFonts w:asciiTheme="minorHAnsi" w:hAnsiTheme="minorHAnsi"/>
                <w:b/>
                <w:sz w:val="18"/>
                <w:szCs w:val="18"/>
              </w:rPr>
              <w:t>období</w:t>
            </w:r>
          </w:p>
        </w:tc>
        <w:tc>
          <w:tcPr>
            <w:tcW w:w="1516" w:type="dxa"/>
          </w:tcPr>
          <w:p w:rsidR="00D26007" w:rsidRPr="002159B4" w:rsidRDefault="00D26007" w:rsidP="008D35A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2159B4">
              <w:rPr>
                <w:rFonts w:asciiTheme="minorHAnsi" w:hAnsiTheme="minorHAnsi"/>
                <w:b/>
                <w:sz w:val="18"/>
                <w:szCs w:val="18"/>
              </w:rPr>
              <w:t>Ostrov</w:t>
            </w:r>
          </w:p>
        </w:tc>
        <w:tc>
          <w:tcPr>
            <w:tcW w:w="1515" w:type="dxa"/>
          </w:tcPr>
          <w:p w:rsidR="00D26007" w:rsidRPr="002159B4" w:rsidRDefault="00D26007" w:rsidP="00D2600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2159B4">
              <w:rPr>
                <w:rFonts w:asciiTheme="minorHAnsi" w:hAnsiTheme="minorHAnsi"/>
                <w:b/>
                <w:sz w:val="18"/>
                <w:szCs w:val="18"/>
              </w:rPr>
              <w:t>Karlovarský kraj</w:t>
            </w:r>
          </w:p>
        </w:tc>
        <w:tc>
          <w:tcPr>
            <w:tcW w:w="1516" w:type="dxa"/>
          </w:tcPr>
          <w:p w:rsidR="00D26007" w:rsidRPr="002159B4" w:rsidRDefault="00D26007" w:rsidP="008D35A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2159B4">
              <w:rPr>
                <w:rFonts w:asciiTheme="minorHAnsi" w:hAnsiTheme="minorHAnsi"/>
                <w:b/>
                <w:sz w:val="18"/>
                <w:szCs w:val="18"/>
              </w:rPr>
              <w:t>ČR</w:t>
            </w:r>
          </w:p>
        </w:tc>
      </w:tr>
      <w:tr w:rsidR="00D26007" w:rsidRPr="002159B4" w:rsidTr="00D26007">
        <w:tc>
          <w:tcPr>
            <w:cnfStyle w:val="001000000000" w:firstRow="0" w:lastRow="0" w:firstColumn="1" w:lastColumn="0" w:oddVBand="0" w:evenVBand="0" w:oddHBand="0" w:evenHBand="0" w:firstRowFirstColumn="0" w:firstRowLastColumn="0" w:lastRowFirstColumn="0" w:lastRowLastColumn="0"/>
            <w:tcW w:w="1515" w:type="dxa"/>
            <w:vAlign w:val="bottom"/>
          </w:tcPr>
          <w:p w:rsidR="00D26007" w:rsidRPr="002159B4" w:rsidRDefault="00D26007" w:rsidP="008D35AC">
            <w:pPr>
              <w:spacing w:before="0" w:after="0" w:line="240" w:lineRule="auto"/>
              <w:jc w:val="right"/>
              <w:rPr>
                <w:rFonts w:asciiTheme="minorHAnsi" w:hAnsiTheme="minorHAnsi"/>
                <w:color w:val="000000"/>
                <w:sz w:val="16"/>
                <w:szCs w:val="16"/>
              </w:rPr>
            </w:pPr>
            <w:r w:rsidRPr="002159B4">
              <w:rPr>
                <w:rFonts w:asciiTheme="minorHAnsi" w:hAnsiTheme="minorHAnsi"/>
                <w:color w:val="000000"/>
                <w:sz w:val="16"/>
                <w:szCs w:val="16"/>
              </w:rPr>
              <w:t>2002 - 2006</w:t>
            </w:r>
          </w:p>
        </w:tc>
        <w:tc>
          <w:tcPr>
            <w:tcW w:w="1516" w:type="dxa"/>
            <w:vAlign w:val="bottom"/>
          </w:tcPr>
          <w:p w:rsidR="00D26007" w:rsidRPr="002159B4" w:rsidRDefault="00D26007" w:rsidP="00D2600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2159B4">
              <w:rPr>
                <w:rFonts w:asciiTheme="minorHAnsi" w:hAnsiTheme="minorHAnsi" w:cs="Arial"/>
                <w:color w:val="000000"/>
                <w:sz w:val="16"/>
                <w:szCs w:val="16"/>
              </w:rPr>
              <w:t>53,8</w:t>
            </w:r>
          </w:p>
        </w:tc>
        <w:tc>
          <w:tcPr>
            <w:tcW w:w="1515" w:type="dxa"/>
            <w:vAlign w:val="bottom"/>
          </w:tcPr>
          <w:p w:rsidR="00D26007" w:rsidRPr="002159B4" w:rsidRDefault="009F0291" w:rsidP="00D2600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59B4">
              <w:rPr>
                <w:rFonts w:asciiTheme="minorHAnsi" w:hAnsiTheme="minorHAnsi"/>
                <w:color w:val="000000"/>
                <w:sz w:val="16"/>
                <w:szCs w:val="16"/>
              </w:rPr>
              <w:t>55,1</w:t>
            </w:r>
          </w:p>
        </w:tc>
        <w:tc>
          <w:tcPr>
            <w:tcW w:w="1516" w:type="dxa"/>
          </w:tcPr>
          <w:p w:rsidR="00D26007" w:rsidRPr="002159B4" w:rsidRDefault="009F0291" w:rsidP="00D2600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2159B4">
              <w:rPr>
                <w:rFonts w:asciiTheme="minorHAnsi" w:hAnsiTheme="minorHAnsi" w:cs="Arial"/>
                <w:sz w:val="16"/>
                <w:szCs w:val="16"/>
              </w:rPr>
              <w:t>42,1</w:t>
            </w:r>
          </w:p>
        </w:tc>
      </w:tr>
      <w:tr w:rsidR="00D26007" w:rsidRPr="002159B4" w:rsidTr="009F0291">
        <w:tc>
          <w:tcPr>
            <w:cnfStyle w:val="001000000000" w:firstRow="0" w:lastRow="0" w:firstColumn="1" w:lastColumn="0" w:oddVBand="0" w:evenVBand="0" w:oddHBand="0" w:evenHBand="0" w:firstRowFirstColumn="0" w:firstRowLastColumn="0" w:lastRowFirstColumn="0" w:lastRowLastColumn="0"/>
            <w:tcW w:w="1515" w:type="dxa"/>
            <w:vAlign w:val="bottom"/>
          </w:tcPr>
          <w:p w:rsidR="00D26007" w:rsidRPr="002159B4" w:rsidRDefault="00D26007" w:rsidP="008D35AC">
            <w:pPr>
              <w:spacing w:before="0" w:after="0" w:line="240" w:lineRule="auto"/>
              <w:jc w:val="right"/>
              <w:rPr>
                <w:rFonts w:asciiTheme="minorHAnsi" w:hAnsiTheme="minorHAnsi"/>
                <w:color w:val="000000"/>
                <w:sz w:val="16"/>
                <w:szCs w:val="16"/>
              </w:rPr>
            </w:pPr>
            <w:r w:rsidRPr="002159B4">
              <w:rPr>
                <w:rFonts w:asciiTheme="minorHAnsi" w:hAnsiTheme="minorHAnsi"/>
                <w:color w:val="000000"/>
                <w:sz w:val="16"/>
                <w:szCs w:val="16"/>
              </w:rPr>
              <w:t>2007 - 2011</w:t>
            </w:r>
          </w:p>
        </w:tc>
        <w:tc>
          <w:tcPr>
            <w:tcW w:w="1516" w:type="dxa"/>
          </w:tcPr>
          <w:p w:rsidR="00D26007" w:rsidRPr="002159B4" w:rsidRDefault="00D26007" w:rsidP="00D2600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2159B4">
              <w:rPr>
                <w:rFonts w:asciiTheme="minorHAnsi" w:hAnsiTheme="minorHAnsi" w:cs="Arial"/>
                <w:color w:val="000000"/>
                <w:sz w:val="16"/>
                <w:szCs w:val="16"/>
              </w:rPr>
              <w:t>41,4</w:t>
            </w:r>
          </w:p>
        </w:tc>
        <w:tc>
          <w:tcPr>
            <w:tcW w:w="1515" w:type="dxa"/>
            <w:vAlign w:val="bottom"/>
          </w:tcPr>
          <w:p w:rsidR="00D26007" w:rsidRPr="002159B4" w:rsidRDefault="009F0291" w:rsidP="00D2600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59B4">
              <w:rPr>
                <w:rFonts w:asciiTheme="minorHAnsi" w:hAnsiTheme="minorHAnsi"/>
                <w:color w:val="000000"/>
                <w:sz w:val="16"/>
                <w:szCs w:val="16"/>
              </w:rPr>
              <w:t>43,8</w:t>
            </w:r>
          </w:p>
        </w:tc>
        <w:tc>
          <w:tcPr>
            <w:tcW w:w="1516" w:type="dxa"/>
          </w:tcPr>
          <w:p w:rsidR="00D26007" w:rsidRPr="002159B4" w:rsidRDefault="009F0291" w:rsidP="00D2600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2159B4">
              <w:rPr>
                <w:rFonts w:asciiTheme="minorHAnsi" w:hAnsiTheme="minorHAnsi" w:cs="Arial"/>
                <w:sz w:val="16"/>
                <w:szCs w:val="16"/>
              </w:rPr>
              <w:t>34,8</w:t>
            </w:r>
          </w:p>
        </w:tc>
      </w:tr>
      <w:tr w:rsidR="00D26007" w:rsidRPr="002159B4" w:rsidTr="009F0291">
        <w:tc>
          <w:tcPr>
            <w:cnfStyle w:val="001000000000" w:firstRow="0" w:lastRow="0" w:firstColumn="1" w:lastColumn="0" w:oddVBand="0" w:evenVBand="0" w:oddHBand="0" w:evenHBand="0" w:firstRowFirstColumn="0" w:firstRowLastColumn="0" w:lastRowFirstColumn="0" w:lastRowLastColumn="0"/>
            <w:tcW w:w="1515" w:type="dxa"/>
            <w:vAlign w:val="bottom"/>
          </w:tcPr>
          <w:p w:rsidR="00D26007" w:rsidRPr="002159B4" w:rsidRDefault="00D26007" w:rsidP="008D35AC">
            <w:pPr>
              <w:spacing w:before="0" w:after="0" w:line="240" w:lineRule="auto"/>
              <w:jc w:val="right"/>
              <w:rPr>
                <w:rFonts w:asciiTheme="minorHAnsi" w:hAnsiTheme="minorHAnsi"/>
                <w:color w:val="000000"/>
                <w:sz w:val="16"/>
                <w:szCs w:val="16"/>
              </w:rPr>
            </w:pPr>
            <w:r w:rsidRPr="002159B4">
              <w:rPr>
                <w:rFonts w:asciiTheme="minorHAnsi" w:hAnsiTheme="minorHAnsi"/>
                <w:color w:val="000000"/>
                <w:sz w:val="16"/>
                <w:szCs w:val="16"/>
              </w:rPr>
              <w:t>2012 - 2016</w:t>
            </w:r>
          </w:p>
        </w:tc>
        <w:tc>
          <w:tcPr>
            <w:tcW w:w="1516" w:type="dxa"/>
          </w:tcPr>
          <w:p w:rsidR="00D26007" w:rsidRPr="002159B4" w:rsidRDefault="00D26007" w:rsidP="00D2600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2159B4">
              <w:rPr>
                <w:rFonts w:asciiTheme="minorHAnsi" w:hAnsiTheme="minorHAnsi" w:cs="Arial"/>
                <w:color w:val="000000"/>
                <w:sz w:val="16"/>
                <w:szCs w:val="16"/>
              </w:rPr>
              <w:t>43,0</w:t>
            </w:r>
          </w:p>
        </w:tc>
        <w:tc>
          <w:tcPr>
            <w:tcW w:w="1515" w:type="dxa"/>
            <w:vAlign w:val="bottom"/>
          </w:tcPr>
          <w:p w:rsidR="00D26007" w:rsidRPr="002159B4" w:rsidRDefault="009F0291" w:rsidP="00D2600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2159B4">
              <w:rPr>
                <w:rFonts w:asciiTheme="minorHAnsi" w:hAnsiTheme="minorHAnsi"/>
                <w:color w:val="000000"/>
                <w:sz w:val="16"/>
                <w:szCs w:val="16"/>
              </w:rPr>
              <w:t>39,8</w:t>
            </w:r>
          </w:p>
        </w:tc>
        <w:tc>
          <w:tcPr>
            <w:tcW w:w="1516" w:type="dxa"/>
          </w:tcPr>
          <w:p w:rsidR="00D26007" w:rsidRPr="002159B4" w:rsidRDefault="009F0291" w:rsidP="00D26007">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2159B4">
              <w:rPr>
                <w:rFonts w:asciiTheme="minorHAnsi" w:hAnsiTheme="minorHAnsi" w:cs="Arial"/>
                <w:sz w:val="16"/>
                <w:szCs w:val="16"/>
              </w:rPr>
              <w:t>33,5</w:t>
            </w:r>
          </w:p>
        </w:tc>
      </w:tr>
    </w:tbl>
    <w:p w:rsidR="008D35AC" w:rsidRPr="008336AF" w:rsidRDefault="008D35AC" w:rsidP="008D35AC">
      <w:pPr>
        <w:spacing w:before="0"/>
        <w:rPr>
          <w:sz w:val="16"/>
          <w:szCs w:val="16"/>
        </w:rPr>
      </w:pPr>
      <w:r w:rsidRPr="008336AF">
        <w:rPr>
          <w:sz w:val="16"/>
          <w:szCs w:val="16"/>
        </w:rPr>
        <w:t xml:space="preserve">Zdroj: </w:t>
      </w:r>
      <w:r w:rsidR="00D26007">
        <w:rPr>
          <w:sz w:val="16"/>
          <w:szCs w:val="16"/>
        </w:rPr>
        <w:t>vlastní dopočty</w:t>
      </w:r>
    </w:p>
    <w:p w:rsidR="00406306" w:rsidRDefault="0066181A" w:rsidP="00406306">
      <w:pPr>
        <w:rPr>
          <w:rFonts w:asciiTheme="majorHAnsi" w:hAnsiTheme="majorHAnsi"/>
        </w:rPr>
      </w:pPr>
      <w:r>
        <w:rPr>
          <w:rFonts w:asciiTheme="majorHAnsi" w:hAnsiTheme="majorHAnsi"/>
        </w:rPr>
        <w:lastRenderedPageBreak/>
        <w:t>Index potratovosti je p</w:t>
      </w:r>
      <w:r w:rsidR="00C2328A" w:rsidRPr="00C2328A">
        <w:rPr>
          <w:rFonts w:asciiTheme="majorHAnsi" w:hAnsiTheme="majorHAnsi"/>
        </w:rPr>
        <w:t>očet potratů (samovolné i umělé)</w:t>
      </w:r>
      <w:r w:rsidR="00651B6E">
        <w:rPr>
          <w:rFonts w:asciiTheme="majorHAnsi" w:hAnsiTheme="majorHAnsi"/>
        </w:rPr>
        <w:t>,</w:t>
      </w:r>
      <w:r w:rsidR="00C2328A" w:rsidRPr="00C2328A">
        <w:rPr>
          <w:rFonts w:asciiTheme="majorHAnsi" w:hAnsiTheme="majorHAnsi"/>
        </w:rPr>
        <w:t xml:space="preserve"> připadajících v daném časovém intervalu a v daném území na 100 celkem narozených dětí v témž intervalu a v témž území. Zachyceno v pětiletém průměru. Ze statistik jsou vyjmuty indukované potraty, které nesouvisejí se zdravotním stavem dítěte či matky, čili </w:t>
      </w:r>
      <w:r w:rsidR="00651B6E" w:rsidRPr="00C2328A">
        <w:rPr>
          <w:rFonts w:asciiTheme="majorHAnsi" w:hAnsiTheme="majorHAnsi"/>
        </w:rPr>
        <w:t>ne</w:t>
      </w:r>
      <w:r w:rsidR="00C2328A" w:rsidRPr="00C2328A">
        <w:rPr>
          <w:rFonts w:asciiTheme="majorHAnsi" w:hAnsiTheme="majorHAnsi"/>
        </w:rPr>
        <w:t>související ani se zdravotním stavem populace. Indikuje hygienickou kvalitu prostředí, zátěže složek životního prostředí i životní styl a zdravotní stav populace.</w:t>
      </w:r>
      <w:r w:rsidR="00651B6E">
        <w:rPr>
          <w:rFonts w:asciiTheme="majorHAnsi" w:hAnsiTheme="majorHAnsi"/>
        </w:rPr>
        <w:t xml:space="preserve"> Pozitivní je minimum.</w:t>
      </w:r>
    </w:p>
    <w:p w:rsidR="002159B4" w:rsidRDefault="002159B4" w:rsidP="00406306">
      <w:pPr>
        <w:rPr>
          <w:rFonts w:asciiTheme="majorHAnsi" w:hAnsiTheme="majorHAnsi"/>
        </w:rPr>
      </w:pPr>
      <w:r>
        <w:rPr>
          <w:rFonts w:asciiTheme="majorHAnsi" w:hAnsiTheme="majorHAnsi"/>
        </w:rPr>
        <w:t xml:space="preserve">Obecný trend v ČR i Karlovarském kraji je pokles tohoto ukazatele. V městě Ostrov se však hodnoty v posledním pětiletém období dostávají na průměr kraje a významně překračují </w:t>
      </w:r>
      <w:r w:rsidR="00F24E60">
        <w:rPr>
          <w:rFonts w:asciiTheme="majorHAnsi" w:hAnsiTheme="majorHAnsi"/>
        </w:rPr>
        <w:t>celorepublikový průměr.</w:t>
      </w:r>
    </w:p>
    <w:p w:rsidR="004F6AF1" w:rsidRDefault="004C0B9D" w:rsidP="00406306">
      <w:pPr>
        <w:rPr>
          <w:rFonts w:asciiTheme="majorHAnsi" w:hAnsiTheme="majorHAnsi"/>
        </w:rPr>
      </w:pPr>
      <w:r>
        <w:rPr>
          <w:rFonts w:asciiTheme="majorHAnsi" w:hAnsiTheme="majorHAnsi"/>
        </w:rPr>
        <w:t xml:space="preserve">Zhoršující se demografickou situaci dokumentuje následující obrázek. Pokles počtu obyvatel doprovází jejich narůstající průměrný věk. Z korelace obou naznačených průběhu vyplývá zajímavá hypotéza: </w:t>
      </w:r>
    </w:p>
    <w:p w:rsidR="004C0B9D" w:rsidRDefault="004C0B9D" w:rsidP="00406306">
      <w:pPr>
        <w:rPr>
          <w:rFonts w:cs="Arial-ItalicMT"/>
          <w:b/>
          <w:bCs/>
          <w:iCs/>
          <w:color w:val="372C74"/>
          <w:spacing w:val="10"/>
          <w:sz w:val="18"/>
          <w:szCs w:val="22"/>
        </w:rPr>
      </w:pPr>
      <w:r>
        <w:rPr>
          <w:rFonts w:asciiTheme="majorHAnsi" w:hAnsiTheme="majorHAnsi"/>
        </w:rPr>
        <w:t xml:space="preserve">Protože průměrný věk roste prakticky kontinuálně a nereaguje na </w:t>
      </w:r>
      <w:r w:rsidR="004F6AF1">
        <w:rPr>
          <w:rFonts w:asciiTheme="majorHAnsi" w:hAnsiTheme="majorHAnsi"/>
        </w:rPr>
        <w:t xml:space="preserve">změny v počtu obyvatel, tak lze dojít k očekávanému závěru, že migrující obyvatelé jsou převážně ve věku do 40ti let. To by bylo v rozporu s předpokladem, že mladí lidé odcházejí za studiem a již se do města nevracejí (podobný závěr bude indikován i dále v textu). Nabízí se vysvětlení, že těžiště migrace spočívá na střední generaci, která </w:t>
      </w:r>
      <w:r w:rsidR="0066705F">
        <w:rPr>
          <w:rFonts w:asciiTheme="majorHAnsi" w:hAnsiTheme="majorHAnsi"/>
        </w:rPr>
        <w:t xml:space="preserve">zřejmě </w:t>
      </w:r>
      <w:r w:rsidR="004F6AF1">
        <w:rPr>
          <w:rFonts w:asciiTheme="majorHAnsi" w:hAnsiTheme="majorHAnsi"/>
        </w:rPr>
        <w:t>nenašla v městě ekonomické uplatnění</w:t>
      </w:r>
      <w:r w:rsidR="0066705F">
        <w:rPr>
          <w:rFonts w:asciiTheme="majorHAnsi" w:hAnsiTheme="majorHAnsi"/>
        </w:rPr>
        <w:t>, nebo bydlení, případně oboje</w:t>
      </w:r>
    </w:p>
    <w:p w:rsidR="00406306" w:rsidRPr="00F42013" w:rsidRDefault="00406306" w:rsidP="00406306">
      <w:pPr>
        <w:rPr>
          <w:rFonts w:asciiTheme="majorHAnsi" w:hAnsiTheme="majorHAnsi"/>
          <w:sz w:val="18"/>
          <w:szCs w:val="18"/>
        </w:rPr>
      </w:pPr>
      <w:bookmarkStart w:id="50" w:name="_Toc516058977"/>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12</w:t>
      </w:r>
      <w:r w:rsidR="005B55A2" w:rsidRPr="00F42013">
        <w:rPr>
          <w:rFonts w:cs="Arial-ItalicMT"/>
          <w:b/>
          <w:bCs/>
          <w:iCs/>
          <w:color w:val="372C74"/>
          <w:spacing w:val="10"/>
          <w:sz w:val="18"/>
          <w:szCs w:val="22"/>
        </w:rPr>
        <w:fldChar w:fldCharType="end"/>
      </w:r>
      <w:r w:rsidRPr="00F42013">
        <w:rPr>
          <w:rFonts w:cs="Arial-ItalicMT"/>
          <w:iCs/>
          <w:sz w:val="18"/>
          <w:szCs w:val="18"/>
        </w:rPr>
        <w:t xml:space="preserve"> - </w:t>
      </w:r>
      <w:r w:rsidRPr="00406306">
        <w:rPr>
          <w:rFonts w:asciiTheme="majorHAnsi" w:hAnsiTheme="majorHAnsi"/>
          <w:sz w:val="18"/>
          <w:szCs w:val="18"/>
        </w:rPr>
        <w:t xml:space="preserve">Vývoj počtu obyvatel města </w:t>
      </w:r>
      <w:r w:rsidR="00564D56">
        <w:rPr>
          <w:rFonts w:asciiTheme="majorHAnsi" w:hAnsiTheme="majorHAnsi"/>
          <w:sz w:val="18"/>
          <w:szCs w:val="18"/>
        </w:rPr>
        <w:t>Ostrov</w:t>
      </w:r>
      <w:r w:rsidRPr="00406306">
        <w:rPr>
          <w:rFonts w:asciiTheme="majorHAnsi" w:hAnsiTheme="majorHAnsi"/>
          <w:sz w:val="18"/>
          <w:szCs w:val="18"/>
        </w:rPr>
        <w:t xml:space="preserve"> a vývoj průměrného věku obyvatel v období let 2000 - 201</w:t>
      </w:r>
      <w:r w:rsidR="00564D56">
        <w:rPr>
          <w:rFonts w:asciiTheme="majorHAnsi" w:hAnsiTheme="majorHAnsi"/>
          <w:sz w:val="18"/>
          <w:szCs w:val="18"/>
        </w:rPr>
        <w:t>6</w:t>
      </w:r>
      <w:bookmarkEnd w:id="50"/>
    </w:p>
    <w:p w:rsidR="00155DC6" w:rsidRPr="001C4D71" w:rsidRDefault="004C0B9D" w:rsidP="00153DE9">
      <w:pPr>
        <w:spacing w:after="0"/>
        <w:jc w:val="center"/>
        <w:rPr>
          <w:rFonts w:asciiTheme="majorHAnsi" w:hAnsiTheme="majorHAnsi"/>
        </w:rPr>
      </w:pPr>
      <w:r w:rsidRPr="004C0B9D">
        <w:rPr>
          <w:noProof/>
          <w:lang w:eastAsia="cs-CZ" w:bidi="ar-SA"/>
        </w:rPr>
        <w:drawing>
          <wp:inline distT="0" distB="0" distL="0" distR="0">
            <wp:extent cx="5913120" cy="2315866"/>
            <wp:effectExtent l="19050" t="0" r="0" b="0"/>
            <wp:docPr id="1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5913120" cy="2315866"/>
                    </a:xfrm>
                    <a:prstGeom prst="rect">
                      <a:avLst/>
                    </a:prstGeom>
                    <a:noFill/>
                    <a:ln w="9525">
                      <a:noFill/>
                      <a:miter lim="800000"/>
                      <a:headEnd/>
                      <a:tailEnd/>
                    </a:ln>
                  </pic:spPr>
                </pic:pic>
              </a:graphicData>
            </a:graphic>
          </wp:inline>
        </w:drawing>
      </w:r>
    </w:p>
    <w:p w:rsidR="00155DC6" w:rsidRDefault="00155DC6" w:rsidP="00155DC6">
      <w:pPr>
        <w:spacing w:before="0" w:after="120"/>
        <w:rPr>
          <w:rFonts w:asciiTheme="majorHAnsi" w:hAnsiTheme="majorHAnsi"/>
          <w:sz w:val="16"/>
          <w:szCs w:val="16"/>
        </w:rPr>
      </w:pPr>
      <w:r w:rsidRPr="001C4D71">
        <w:rPr>
          <w:rFonts w:asciiTheme="majorHAnsi" w:hAnsiTheme="majorHAnsi"/>
          <w:sz w:val="16"/>
          <w:szCs w:val="16"/>
        </w:rPr>
        <w:t xml:space="preserve">Zdroj: ČSÚ – veřejná databáze </w:t>
      </w:r>
      <w:r w:rsidRPr="001C4D71">
        <w:rPr>
          <w:rStyle w:val="Znakapoznpodarou"/>
          <w:rFonts w:asciiTheme="majorHAnsi" w:hAnsiTheme="majorHAnsi"/>
          <w:sz w:val="16"/>
          <w:szCs w:val="16"/>
        </w:rPr>
        <w:footnoteReference w:id="6"/>
      </w:r>
    </w:p>
    <w:p w:rsidR="00843540" w:rsidRDefault="00843540">
      <w:pPr>
        <w:spacing w:before="0" w:after="0" w:line="240" w:lineRule="auto"/>
        <w:jc w:val="left"/>
        <w:rPr>
          <w:rFonts w:asciiTheme="majorHAnsi" w:hAnsiTheme="majorHAnsi"/>
          <w:color w:val="282156"/>
          <w:spacing w:val="10"/>
          <w:szCs w:val="22"/>
        </w:rPr>
      </w:pPr>
      <w:r>
        <w:rPr>
          <w:rFonts w:asciiTheme="majorHAnsi" w:hAnsiTheme="majorHAnsi"/>
        </w:rPr>
        <w:br w:type="page"/>
      </w:r>
    </w:p>
    <w:p w:rsidR="00155DC6" w:rsidRPr="004A3E24" w:rsidRDefault="00155DC6" w:rsidP="00155DC6">
      <w:pPr>
        <w:pStyle w:val="Nadpis6"/>
        <w:rPr>
          <w:rFonts w:asciiTheme="majorHAnsi" w:hAnsiTheme="majorHAnsi"/>
        </w:rPr>
      </w:pPr>
      <w:r w:rsidRPr="004A3E24">
        <w:rPr>
          <w:rFonts w:asciiTheme="majorHAnsi" w:hAnsiTheme="majorHAnsi"/>
        </w:rPr>
        <w:lastRenderedPageBreak/>
        <w:t>Pohyb obyvatelstva</w:t>
      </w:r>
    </w:p>
    <w:p w:rsidR="00155DC6" w:rsidRDefault="00155DC6" w:rsidP="003D61FE">
      <w:pPr>
        <w:spacing w:after="120"/>
        <w:rPr>
          <w:rFonts w:asciiTheme="majorHAnsi" w:hAnsiTheme="majorHAnsi"/>
        </w:rPr>
      </w:pPr>
      <w:r w:rsidRPr="001C4D71">
        <w:rPr>
          <w:rFonts w:asciiTheme="majorHAnsi" w:hAnsiTheme="majorHAnsi"/>
        </w:rPr>
        <w:t xml:space="preserve">Jak je patrné </w:t>
      </w:r>
      <w:r w:rsidR="00651B6E">
        <w:rPr>
          <w:rFonts w:asciiTheme="majorHAnsi" w:hAnsiTheme="majorHAnsi"/>
        </w:rPr>
        <w:t>z </w:t>
      </w:r>
      <w:r w:rsidRPr="001C4D71">
        <w:rPr>
          <w:rFonts w:asciiTheme="majorHAnsi" w:hAnsiTheme="majorHAnsi"/>
        </w:rPr>
        <w:t>tabul</w:t>
      </w:r>
      <w:r w:rsidR="00651B6E">
        <w:rPr>
          <w:rFonts w:asciiTheme="majorHAnsi" w:hAnsiTheme="majorHAnsi"/>
        </w:rPr>
        <w:t>ky č. 7</w:t>
      </w:r>
      <w:r w:rsidRPr="001C4D71">
        <w:rPr>
          <w:rFonts w:asciiTheme="majorHAnsi" w:hAnsiTheme="majorHAnsi"/>
        </w:rPr>
        <w:t xml:space="preserve">, celkový a přirozený přírůstek města se pohybuje </w:t>
      </w:r>
      <w:r w:rsidR="00AD1890">
        <w:rPr>
          <w:rFonts w:asciiTheme="majorHAnsi" w:hAnsiTheme="majorHAnsi"/>
        </w:rPr>
        <w:t>převáž</w:t>
      </w:r>
      <w:r w:rsidR="00651B6E">
        <w:rPr>
          <w:rFonts w:asciiTheme="majorHAnsi" w:hAnsiTheme="majorHAnsi"/>
        </w:rPr>
        <w:t xml:space="preserve">ně </w:t>
      </w:r>
      <w:r w:rsidR="00AD1890">
        <w:rPr>
          <w:rFonts w:asciiTheme="majorHAnsi" w:hAnsiTheme="majorHAnsi"/>
        </w:rPr>
        <w:t xml:space="preserve">v </w:t>
      </w:r>
      <w:r w:rsidR="00651B6E">
        <w:rPr>
          <w:rFonts w:asciiTheme="majorHAnsi" w:hAnsiTheme="majorHAnsi"/>
        </w:rPr>
        <w:t xml:space="preserve">záporných hodnotách </w:t>
      </w:r>
      <w:r w:rsidRPr="001C4D71">
        <w:rPr>
          <w:rFonts w:asciiTheme="majorHAnsi" w:hAnsiTheme="majorHAnsi"/>
        </w:rPr>
        <w:t xml:space="preserve">a celkový počet obyvatelstva města má </w:t>
      </w:r>
      <w:r w:rsidR="003A6AD3">
        <w:rPr>
          <w:rFonts w:asciiTheme="majorHAnsi" w:hAnsiTheme="majorHAnsi"/>
        </w:rPr>
        <w:t>ve sledovaném období</w:t>
      </w:r>
      <w:r w:rsidRPr="001C4D71">
        <w:rPr>
          <w:rFonts w:asciiTheme="majorHAnsi" w:hAnsiTheme="majorHAnsi"/>
        </w:rPr>
        <w:t xml:space="preserve"> klesající charakter.</w:t>
      </w:r>
    </w:p>
    <w:p w:rsidR="00141D6B" w:rsidRDefault="00141D6B" w:rsidP="00141D6B">
      <w:pPr>
        <w:spacing w:before="0" w:after="120"/>
        <w:rPr>
          <w:rFonts w:asciiTheme="minorHAnsi" w:hAnsiTheme="minorHAnsi" w:cs="Arial-ItalicMT"/>
          <w:iCs/>
          <w:sz w:val="18"/>
          <w:szCs w:val="18"/>
        </w:rPr>
      </w:pPr>
      <w:bookmarkStart w:id="51" w:name="_Toc516059012"/>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3</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141D6B">
        <w:rPr>
          <w:rFonts w:asciiTheme="minorHAnsi" w:hAnsiTheme="minorHAnsi" w:cs="Arial-ItalicMT"/>
          <w:iCs/>
          <w:sz w:val="18"/>
          <w:szCs w:val="18"/>
        </w:rPr>
        <w:t>Pohyb obyvatelstva v</w:t>
      </w:r>
      <w:r w:rsidR="002159B4">
        <w:rPr>
          <w:rFonts w:asciiTheme="minorHAnsi" w:hAnsiTheme="minorHAnsi" w:cs="Arial-ItalicMT"/>
          <w:iCs/>
          <w:sz w:val="18"/>
          <w:szCs w:val="18"/>
        </w:rPr>
        <w:t> </w:t>
      </w:r>
      <w:r w:rsidR="00564D56">
        <w:rPr>
          <w:rFonts w:asciiTheme="minorHAnsi" w:hAnsiTheme="minorHAnsi" w:cs="Arial-ItalicMT"/>
          <w:iCs/>
          <w:sz w:val="18"/>
          <w:szCs w:val="18"/>
        </w:rPr>
        <w:t>Ostrově</w:t>
      </w:r>
      <w:bookmarkEnd w:id="51"/>
    </w:p>
    <w:tbl>
      <w:tblPr>
        <w:tblStyle w:val="Mkatabulky"/>
        <w:tblW w:w="0" w:type="auto"/>
        <w:tblLook w:val="04A0" w:firstRow="1" w:lastRow="0" w:firstColumn="1" w:lastColumn="0" w:noHBand="0" w:noVBand="1"/>
      </w:tblPr>
      <w:tblGrid>
        <w:gridCol w:w="959"/>
        <w:gridCol w:w="1403"/>
        <w:gridCol w:w="1181"/>
        <w:gridCol w:w="1181"/>
        <w:gridCol w:w="1182"/>
        <w:gridCol w:w="1182"/>
        <w:gridCol w:w="1182"/>
        <w:gridCol w:w="1182"/>
      </w:tblGrid>
      <w:tr w:rsidR="00F24E60" w:rsidRPr="00F24E60" w:rsidTr="00F24E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F24E60" w:rsidRPr="00F24E60" w:rsidRDefault="00F24E60" w:rsidP="00F24E60">
            <w:pPr>
              <w:spacing w:before="0" w:after="0" w:line="240" w:lineRule="auto"/>
              <w:rPr>
                <w:rFonts w:asciiTheme="minorHAnsi" w:hAnsiTheme="minorHAnsi"/>
                <w:b/>
                <w:sz w:val="18"/>
                <w:szCs w:val="18"/>
              </w:rPr>
            </w:pPr>
            <w:r w:rsidRPr="00F24E60">
              <w:rPr>
                <w:rFonts w:asciiTheme="minorHAnsi" w:hAnsiTheme="minorHAnsi"/>
                <w:b/>
                <w:sz w:val="18"/>
                <w:szCs w:val="18"/>
              </w:rPr>
              <w:t>Rok</w:t>
            </w:r>
          </w:p>
        </w:tc>
        <w:tc>
          <w:tcPr>
            <w:tcW w:w="1403" w:type="dxa"/>
          </w:tcPr>
          <w:p w:rsidR="00F24E60" w:rsidRPr="00F24E60" w:rsidRDefault="00F24E60" w:rsidP="00BE0EB4">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bCs/>
                <w:spacing w:val="0"/>
                <w:sz w:val="18"/>
                <w:szCs w:val="18"/>
                <w:lang w:bidi="ar-SA"/>
              </w:rPr>
            </w:pPr>
            <w:r w:rsidRPr="00F24E60">
              <w:rPr>
                <w:rFonts w:asciiTheme="majorHAnsi" w:hAnsiTheme="majorHAnsi" w:cs="Arial"/>
                <w:b/>
                <w:bCs/>
                <w:spacing w:val="0"/>
                <w:sz w:val="18"/>
                <w:szCs w:val="18"/>
                <w:lang w:bidi="ar-SA"/>
              </w:rPr>
              <w:t>Celkový přírůstek</w:t>
            </w:r>
          </w:p>
        </w:tc>
        <w:tc>
          <w:tcPr>
            <w:tcW w:w="1181" w:type="dxa"/>
          </w:tcPr>
          <w:p w:rsidR="00F24E60" w:rsidRPr="00F24E60" w:rsidRDefault="00F24E60" w:rsidP="00BE0EB4">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bCs/>
                <w:spacing w:val="0"/>
                <w:sz w:val="18"/>
                <w:szCs w:val="18"/>
                <w:lang w:bidi="ar-SA"/>
              </w:rPr>
            </w:pPr>
            <w:r w:rsidRPr="00F24E60">
              <w:rPr>
                <w:rFonts w:asciiTheme="majorHAnsi" w:hAnsiTheme="majorHAnsi" w:cs="Arial"/>
                <w:b/>
                <w:bCs/>
                <w:spacing w:val="0"/>
                <w:sz w:val="18"/>
                <w:szCs w:val="18"/>
                <w:lang w:bidi="ar-SA"/>
              </w:rPr>
              <w:t>Přirozený přírůstek</w:t>
            </w:r>
          </w:p>
        </w:tc>
        <w:tc>
          <w:tcPr>
            <w:tcW w:w="1181" w:type="dxa"/>
          </w:tcPr>
          <w:p w:rsidR="00F24E60" w:rsidRPr="00F24E60" w:rsidRDefault="00F24E60" w:rsidP="00BE0EB4">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bCs/>
                <w:spacing w:val="0"/>
                <w:sz w:val="18"/>
                <w:szCs w:val="18"/>
                <w:lang w:bidi="ar-SA"/>
              </w:rPr>
            </w:pPr>
            <w:r w:rsidRPr="00F24E60">
              <w:rPr>
                <w:rFonts w:asciiTheme="majorHAnsi" w:hAnsiTheme="majorHAnsi" w:cs="Arial"/>
                <w:b/>
                <w:bCs/>
                <w:spacing w:val="0"/>
                <w:sz w:val="18"/>
                <w:szCs w:val="18"/>
                <w:lang w:bidi="ar-SA"/>
              </w:rPr>
              <w:t>Přírůstek stěhováním</w:t>
            </w:r>
          </w:p>
        </w:tc>
        <w:tc>
          <w:tcPr>
            <w:tcW w:w="1182" w:type="dxa"/>
          </w:tcPr>
          <w:p w:rsidR="00F24E60" w:rsidRPr="00F24E60" w:rsidRDefault="00F24E60" w:rsidP="00BE0EB4">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bCs/>
                <w:spacing w:val="0"/>
                <w:sz w:val="18"/>
                <w:szCs w:val="18"/>
                <w:lang w:bidi="ar-SA"/>
              </w:rPr>
            </w:pPr>
            <w:r w:rsidRPr="00F24E60">
              <w:rPr>
                <w:rFonts w:asciiTheme="majorHAnsi" w:hAnsiTheme="majorHAnsi" w:cs="Arial"/>
                <w:b/>
                <w:bCs/>
                <w:spacing w:val="0"/>
                <w:sz w:val="18"/>
                <w:szCs w:val="18"/>
                <w:lang w:bidi="ar-SA"/>
              </w:rPr>
              <w:t>Živě narození</w:t>
            </w:r>
          </w:p>
        </w:tc>
        <w:tc>
          <w:tcPr>
            <w:tcW w:w="1182" w:type="dxa"/>
          </w:tcPr>
          <w:p w:rsidR="00F24E60" w:rsidRPr="00F24E60" w:rsidRDefault="00F24E60" w:rsidP="00BE0EB4">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bCs/>
                <w:spacing w:val="0"/>
                <w:sz w:val="18"/>
                <w:szCs w:val="18"/>
                <w:lang w:bidi="ar-SA"/>
              </w:rPr>
            </w:pPr>
            <w:r w:rsidRPr="00F24E60">
              <w:rPr>
                <w:rFonts w:asciiTheme="majorHAnsi" w:hAnsiTheme="majorHAnsi" w:cs="Arial"/>
                <w:b/>
                <w:bCs/>
                <w:spacing w:val="0"/>
                <w:sz w:val="18"/>
                <w:szCs w:val="18"/>
                <w:lang w:bidi="ar-SA"/>
              </w:rPr>
              <w:t>Zemřelí</w:t>
            </w:r>
          </w:p>
        </w:tc>
        <w:tc>
          <w:tcPr>
            <w:tcW w:w="1182" w:type="dxa"/>
          </w:tcPr>
          <w:p w:rsidR="00F24E60" w:rsidRPr="00F24E60" w:rsidRDefault="00F24E60" w:rsidP="00BE0EB4">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bCs/>
                <w:spacing w:val="0"/>
                <w:sz w:val="18"/>
                <w:szCs w:val="18"/>
                <w:lang w:bidi="ar-SA"/>
              </w:rPr>
            </w:pPr>
            <w:r w:rsidRPr="00F24E60">
              <w:rPr>
                <w:rFonts w:asciiTheme="majorHAnsi" w:hAnsiTheme="majorHAnsi" w:cs="Arial"/>
                <w:b/>
                <w:bCs/>
                <w:spacing w:val="0"/>
                <w:sz w:val="18"/>
                <w:szCs w:val="18"/>
                <w:lang w:bidi="ar-SA"/>
              </w:rPr>
              <w:t>Přistěhovalí</w:t>
            </w:r>
          </w:p>
        </w:tc>
        <w:tc>
          <w:tcPr>
            <w:tcW w:w="1182" w:type="dxa"/>
          </w:tcPr>
          <w:p w:rsidR="00F24E60" w:rsidRPr="00F24E60" w:rsidRDefault="00F24E60" w:rsidP="00BE0EB4">
            <w:pPr>
              <w:widowControl w:val="0"/>
              <w:autoSpaceDE w:val="0"/>
              <w:autoSpaceDN w:val="0"/>
              <w:adjustRightInd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bCs/>
                <w:spacing w:val="0"/>
                <w:sz w:val="18"/>
                <w:szCs w:val="18"/>
                <w:lang w:bidi="ar-SA"/>
              </w:rPr>
            </w:pPr>
            <w:r w:rsidRPr="00F24E60">
              <w:rPr>
                <w:rFonts w:asciiTheme="majorHAnsi" w:hAnsiTheme="majorHAnsi" w:cs="Arial"/>
                <w:b/>
                <w:bCs/>
                <w:spacing w:val="0"/>
                <w:sz w:val="18"/>
                <w:szCs w:val="18"/>
                <w:lang w:bidi="ar-SA"/>
              </w:rPr>
              <w:t>Vystěhovalí</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2002</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-22</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-10</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-12</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161</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171</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567</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579</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2003</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-170</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-35</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-135</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166</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201</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377</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512</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2004</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-13</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13</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-26</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164</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151</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428</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454</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2005</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-82</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-9</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-73</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165</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174</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393</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466</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2006</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-45</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-21</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-24</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153</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174</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367</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391</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2007</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184</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25</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159</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193</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168</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686</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527</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2008</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107</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44</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63</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211</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167</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602</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539</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2009</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-127</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-13</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-114</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165</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178</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428</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542</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2010</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75</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38</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37</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206</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168</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564</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527</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2011</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-69</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-15</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-54</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156</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171</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358</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412</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C4D71">
              <w:rPr>
                <w:rFonts w:asciiTheme="majorHAnsi" w:hAnsiTheme="majorHAnsi" w:cs="Arial"/>
                <w:spacing w:val="0"/>
                <w:sz w:val="16"/>
                <w:szCs w:val="16"/>
                <w:lang w:bidi="ar-SA"/>
              </w:rPr>
              <w:t>2012</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13</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-9</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22</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171</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180</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453</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431</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71BF7" w:rsidRDefault="00F24E60" w:rsidP="00F24E60">
            <w:pPr>
              <w:widowControl w:val="0"/>
              <w:autoSpaceDE w:val="0"/>
              <w:autoSpaceDN w:val="0"/>
              <w:adjustRightInd w:val="0"/>
              <w:spacing w:before="0" w:after="0" w:line="240" w:lineRule="auto"/>
              <w:jc w:val="center"/>
              <w:rPr>
                <w:rFonts w:asciiTheme="majorHAnsi" w:hAnsiTheme="majorHAnsi" w:cs="Arial"/>
                <w:spacing w:val="0"/>
                <w:sz w:val="16"/>
                <w:szCs w:val="16"/>
                <w:lang w:bidi="ar-SA"/>
              </w:rPr>
            </w:pPr>
            <w:r w:rsidRPr="00171BF7">
              <w:rPr>
                <w:rFonts w:asciiTheme="majorHAnsi" w:hAnsiTheme="majorHAnsi" w:cs="Arial"/>
                <w:spacing w:val="0"/>
                <w:sz w:val="16"/>
                <w:szCs w:val="16"/>
                <w:lang w:bidi="ar-SA"/>
              </w:rPr>
              <w:t>2013</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-53</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-21</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-32</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159</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180</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401</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433</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Pr>
                <w:rFonts w:asciiTheme="majorHAnsi" w:hAnsiTheme="majorHAnsi" w:cs="Arial"/>
                <w:bCs/>
                <w:spacing w:val="0"/>
                <w:sz w:val="16"/>
                <w:szCs w:val="16"/>
                <w:lang w:bidi="ar-SA"/>
              </w:rPr>
              <w:t>2014</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-93</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-21</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-72</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153</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174</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376</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448</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Pr="001C4D71" w:rsidRDefault="00F24E60" w:rsidP="00F24E60">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Pr>
                <w:rFonts w:asciiTheme="majorHAnsi" w:hAnsiTheme="majorHAnsi" w:cs="Arial"/>
                <w:bCs/>
                <w:spacing w:val="0"/>
                <w:sz w:val="16"/>
                <w:szCs w:val="16"/>
                <w:lang w:bidi="ar-SA"/>
              </w:rPr>
              <w:t>2015</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-10</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-17</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7</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168</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185</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430</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423</w:t>
            </w:r>
          </w:p>
        </w:tc>
      </w:tr>
      <w:tr w:rsidR="00F24E60" w:rsidRPr="00F24E60" w:rsidTr="00F24E60">
        <w:tc>
          <w:tcPr>
            <w:cnfStyle w:val="001000000000" w:firstRow="0" w:lastRow="0" w:firstColumn="1" w:lastColumn="0" w:oddVBand="0" w:evenVBand="0" w:oddHBand="0" w:evenHBand="0" w:firstRowFirstColumn="0" w:firstRowLastColumn="0" w:lastRowFirstColumn="0" w:lastRowLastColumn="0"/>
            <w:tcW w:w="959" w:type="dxa"/>
          </w:tcPr>
          <w:p w:rsidR="00F24E60" w:rsidRDefault="00F24E60" w:rsidP="00F24E60">
            <w:pPr>
              <w:widowControl w:val="0"/>
              <w:autoSpaceDE w:val="0"/>
              <w:autoSpaceDN w:val="0"/>
              <w:adjustRightInd w:val="0"/>
              <w:spacing w:before="0" w:after="0" w:line="240" w:lineRule="auto"/>
              <w:jc w:val="center"/>
              <w:rPr>
                <w:rFonts w:asciiTheme="majorHAnsi" w:hAnsiTheme="majorHAnsi" w:cs="Arial"/>
                <w:bCs/>
                <w:spacing w:val="0"/>
                <w:sz w:val="16"/>
                <w:szCs w:val="16"/>
                <w:lang w:bidi="ar-SA"/>
              </w:rPr>
            </w:pPr>
            <w:r>
              <w:rPr>
                <w:rFonts w:asciiTheme="majorHAnsi" w:hAnsiTheme="majorHAnsi" w:cs="Arial"/>
                <w:bCs/>
                <w:spacing w:val="0"/>
                <w:sz w:val="16"/>
                <w:szCs w:val="16"/>
                <w:lang w:bidi="ar-SA"/>
              </w:rPr>
              <w:t>2016</w:t>
            </w:r>
          </w:p>
        </w:tc>
        <w:tc>
          <w:tcPr>
            <w:tcW w:w="1403"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-130</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-14</w:t>
            </w:r>
          </w:p>
        </w:tc>
        <w:tc>
          <w:tcPr>
            <w:tcW w:w="1181"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-116</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168</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182</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360</w:t>
            </w:r>
          </w:p>
        </w:tc>
        <w:tc>
          <w:tcPr>
            <w:tcW w:w="1182" w:type="dxa"/>
          </w:tcPr>
          <w:p w:rsidR="00F24E60" w:rsidRPr="00896C96" w:rsidRDefault="00F24E60" w:rsidP="00BE0EB4">
            <w:pPr>
              <w:widowControl w:val="0"/>
              <w:autoSpaceDE w:val="0"/>
              <w:autoSpaceDN w:val="0"/>
              <w:adjustRightInd w:val="0"/>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Arial"/>
                <w:spacing w:val="0"/>
                <w:sz w:val="16"/>
                <w:szCs w:val="16"/>
                <w:lang w:bidi="ar-SA"/>
              </w:rPr>
            </w:pPr>
            <w:r w:rsidRPr="00896C96">
              <w:rPr>
                <w:rFonts w:asciiTheme="majorHAnsi" w:hAnsiTheme="majorHAnsi" w:cs="Arial"/>
                <w:spacing w:val="0"/>
                <w:sz w:val="16"/>
                <w:szCs w:val="16"/>
                <w:lang w:bidi="ar-SA"/>
              </w:rPr>
              <w:t>476</w:t>
            </w:r>
          </w:p>
        </w:tc>
      </w:tr>
    </w:tbl>
    <w:p w:rsidR="0078742E" w:rsidRDefault="0078742E" w:rsidP="0078742E">
      <w:pPr>
        <w:spacing w:before="0" w:after="120"/>
        <w:rPr>
          <w:rFonts w:asciiTheme="majorHAnsi" w:hAnsiTheme="majorHAnsi"/>
          <w:sz w:val="16"/>
          <w:szCs w:val="16"/>
        </w:rPr>
      </w:pPr>
      <w:r w:rsidRPr="001C4D71">
        <w:rPr>
          <w:rFonts w:asciiTheme="majorHAnsi" w:hAnsiTheme="majorHAnsi"/>
          <w:sz w:val="16"/>
          <w:szCs w:val="16"/>
        </w:rPr>
        <w:t>Zdroj: ČSÚ – veřejná databáze</w:t>
      </w:r>
      <w:r w:rsidR="00843540">
        <w:rPr>
          <w:rStyle w:val="Znakapoznpodarou"/>
          <w:rFonts w:asciiTheme="majorHAnsi" w:hAnsiTheme="majorHAnsi"/>
          <w:sz w:val="16"/>
          <w:szCs w:val="16"/>
        </w:rPr>
        <w:footnoteReference w:id="7"/>
      </w:r>
      <w:r w:rsidRPr="001C4D71">
        <w:rPr>
          <w:rFonts w:asciiTheme="majorHAnsi" w:hAnsiTheme="majorHAnsi"/>
          <w:sz w:val="16"/>
          <w:szCs w:val="16"/>
        </w:rPr>
        <w:t xml:space="preserve"> </w:t>
      </w:r>
    </w:p>
    <w:p w:rsidR="00406306" w:rsidRPr="00F42013" w:rsidRDefault="00406306" w:rsidP="003D61FE">
      <w:pPr>
        <w:spacing w:after="0"/>
        <w:rPr>
          <w:rFonts w:asciiTheme="majorHAnsi" w:hAnsiTheme="majorHAnsi"/>
          <w:sz w:val="18"/>
          <w:szCs w:val="18"/>
        </w:rPr>
      </w:pPr>
      <w:bookmarkStart w:id="52" w:name="_Toc516058978"/>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13</w:t>
      </w:r>
      <w:r w:rsidR="005B55A2" w:rsidRPr="00F42013">
        <w:rPr>
          <w:rFonts w:cs="Arial-ItalicMT"/>
          <w:b/>
          <w:bCs/>
          <w:iCs/>
          <w:color w:val="372C74"/>
          <w:spacing w:val="10"/>
          <w:sz w:val="18"/>
          <w:szCs w:val="22"/>
        </w:rPr>
        <w:fldChar w:fldCharType="end"/>
      </w:r>
      <w:r w:rsidRPr="00F42013">
        <w:rPr>
          <w:rFonts w:cs="Arial-ItalicMT"/>
          <w:iCs/>
          <w:sz w:val="18"/>
          <w:szCs w:val="18"/>
        </w:rPr>
        <w:t xml:space="preserve"> - </w:t>
      </w:r>
      <w:r w:rsidRPr="00406306">
        <w:rPr>
          <w:rFonts w:asciiTheme="majorHAnsi" w:hAnsiTheme="majorHAnsi"/>
          <w:sz w:val="18"/>
          <w:szCs w:val="18"/>
        </w:rPr>
        <w:t xml:space="preserve">Vývoj přírůstku obyvatel města </w:t>
      </w:r>
      <w:r w:rsidR="00564D56">
        <w:rPr>
          <w:rFonts w:asciiTheme="majorHAnsi" w:hAnsiTheme="majorHAnsi"/>
          <w:sz w:val="18"/>
          <w:szCs w:val="18"/>
        </w:rPr>
        <w:t>Ostrov</w:t>
      </w:r>
      <w:r w:rsidRPr="00406306">
        <w:rPr>
          <w:rFonts w:asciiTheme="majorHAnsi" w:hAnsiTheme="majorHAnsi"/>
          <w:sz w:val="18"/>
          <w:szCs w:val="18"/>
        </w:rPr>
        <w:t xml:space="preserve"> letech 200</w:t>
      </w:r>
      <w:r w:rsidR="00F24E60">
        <w:rPr>
          <w:rFonts w:asciiTheme="majorHAnsi" w:hAnsiTheme="majorHAnsi"/>
          <w:sz w:val="18"/>
          <w:szCs w:val="18"/>
        </w:rPr>
        <w:t>2</w:t>
      </w:r>
      <w:r w:rsidRPr="00406306">
        <w:rPr>
          <w:rFonts w:asciiTheme="majorHAnsi" w:hAnsiTheme="majorHAnsi"/>
          <w:sz w:val="18"/>
          <w:szCs w:val="18"/>
        </w:rPr>
        <w:t xml:space="preserve"> - 201</w:t>
      </w:r>
      <w:r w:rsidR="00564D56">
        <w:rPr>
          <w:rFonts w:asciiTheme="majorHAnsi" w:hAnsiTheme="majorHAnsi"/>
          <w:sz w:val="18"/>
          <w:szCs w:val="18"/>
        </w:rPr>
        <w:t>6</w:t>
      </w:r>
      <w:bookmarkEnd w:id="52"/>
    </w:p>
    <w:p w:rsidR="00E83E2E" w:rsidRDefault="004C0B9D" w:rsidP="003D61FE">
      <w:pPr>
        <w:spacing w:before="0" w:after="0" w:line="240" w:lineRule="auto"/>
        <w:jc w:val="center"/>
        <w:rPr>
          <w:rFonts w:asciiTheme="majorHAnsi" w:hAnsiTheme="majorHAnsi"/>
          <w:sz w:val="16"/>
          <w:szCs w:val="16"/>
        </w:rPr>
      </w:pPr>
      <w:r w:rsidRPr="004C0B9D">
        <w:rPr>
          <w:noProof/>
          <w:szCs w:val="16"/>
          <w:lang w:eastAsia="cs-CZ" w:bidi="ar-SA"/>
        </w:rPr>
        <w:drawing>
          <wp:inline distT="0" distB="0" distL="0" distR="0">
            <wp:extent cx="5913120" cy="2304872"/>
            <wp:effectExtent l="19050" t="0" r="0" b="0"/>
            <wp:docPr id="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5913120" cy="2304872"/>
                    </a:xfrm>
                    <a:prstGeom prst="rect">
                      <a:avLst/>
                    </a:prstGeom>
                    <a:noFill/>
                    <a:ln w="9525">
                      <a:noFill/>
                      <a:miter lim="800000"/>
                      <a:headEnd/>
                      <a:tailEnd/>
                    </a:ln>
                  </pic:spPr>
                </pic:pic>
              </a:graphicData>
            </a:graphic>
          </wp:inline>
        </w:drawing>
      </w:r>
    </w:p>
    <w:p w:rsidR="002A6E5F" w:rsidRDefault="002A6E5F" w:rsidP="002A6E5F">
      <w:pPr>
        <w:spacing w:before="0" w:after="120"/>
        <w:rPr>
          <w:rFonts w:asciiTheme="majorHAnsi" w:hAnsiTheme="majorHAnsi"/>
          <w:sz w:val="16"/>
          <w:szCs w:val="16"/>
        </w:rPr>
      </w:pPr>
      <w:r w:rsidRPr="001C4D71">
        <w:rPr>
          <w:rFonts w:asciiTheme="majorHAnsi" w:hAnsiTheme="majorHAnsi"/>
          <w:sz w:val="16"/>
          <w:szCs w:val="16"/>
        </w:rPr>
        <w:t xml:space="preserve">Zdroj: ČSÚ – veřejná databáze </w:t>
      </w:r>
      <w:r w:rsidRPr="001C4D71">
        <w:rPr>
          <w:rStyle w:val="Znakapoznpodarou"/>
          <w:rFonts w:asciiTheme="majorHAnsi" w:hAnsiTheme="majorHAnsi"/>
          <w:sz w:val="16"/>
          <w:szCs w:val="16"/>
        </w:rPr>
        <w:footnoteReference w:id="8"/>
      </w:r>
    </w:p>
    <w:p w:rsidR="00141D6B" w:rsidRPr="00956631" w:rsidRDefault="00141D6B" w:rsidP="00141D6B">
      <w:pPr>
        <w:spacing w:before="0" w:after="120"/>
        <w:rPr>
          <w:rFonts w:asciiTheme="majorHAnsi" w:hAnsiTheme="majorHAnsi"/>
          <w:szCs w:val="22"/>
        </w:rPr>
      </w:pPr>
      <w:r w:rsidRPr="00956631">
        <w:rPr>
          <w:rFonts w:asciiTheme="majorHAnsi" w:hAnsiTheme="majorHAnsi"/>
          <w:szCs w:val="22"/>
        </w:rPr>
        <w:t xml:space="preserve">Statistická data ukazují, že v rámci </w:t>
      </w:r>
      <w:r w:rsidR="003A6AD3">
        <w:rPr>
          <w:rFonts w:asciiTheme="majorHAnsi" w:hAnsiTheme="majorHAnsi"/>
          <w:szCs w:val="22"/>
        </w:rPr>
        <w:t xml:space="preserve">celého </w:t>
      </w:r>
      <w:r w:rsidR="00564D56">
        <w:rPr>
          <w:rFonts w:asciiTheme="majorHAnsi" w:hAnsiTheme="majorHAnsi"/>
          <w:szCs w:val="22"/>
        </w:rPr>
        <w:t>Karlovar</w:t>
      </w:r>
      <w:r w:rsidRPr="00956631">
        <w:rPr>
          <w:rFonts w:asciiTheme="majorHAnsi" w:hAnsiTheme="majorHAnsi"/>
          <w:szCs w:val="22"/>
        </w:rPr>
        <w:t>ského kraje obecně dochází v poslední dekádě (zhruba od roku 20</w:t>
      </w:r>
      <w:r w:rsidR="00AD1890">
        <w:rPr>
          <w:rFonts w:asciiTheme="majorHAnsi" w:hAnsiTheme="majorHAnsi"/>
          <w:szCs w:val="22"/>
        </w:rPr>
        <w:t>08</w:t>
      </w:r>
      <w:r w:rsidRPr="00956631">
        <w:rPr>
          <w:rFonts w:asciiTheme="majorHAnsi" w:hAnsiTheme="majorHAnsi"/>
          <w:szCs w:val="22"/>
        </w:rPr>
        <w:t xml:space="preserve">) k permanentnímu poklesu obyvatel a tento trend se zesiluje. Celkový úbytek činil </w:t>
      </w:r>
      <w:r w:rsidR="00AD1890">
        <w:rPr>
          <w:rFonts w:asciiTheme="majorHAnsi" w:hAnsiTheme="majorHAnsi"/>
          <w:szCs w:val="22"/>
        </w:rPr>
        <w:t>více než 4000</w:t>
      </w:r>
      <w:r w:rsidRPr="00956631">
        <w:rPr>
          <w:rFonts w:asciiTheme="majorHAnsi" w:hAnsiTheme="majorHAnsi"/>
          <w:szCs w:val="22"/>
        </w:rPr>
        <w:t xml:space="preserve"> obyvatel a byl způsoben jak přirozeným vývojem, tak stěhováním. </w:t>
      </w:r>
    </w:p>
    <w:p w:rsidR="00141D6B" w:rsidRPr="00956631" w:rsidRDefault="00141D6B" w:rsidP="00141D6B">
      <w:pPr>
        <w:spacing w:before="0" w:after="120"/>
        <w:rPr>
          <w:rFonts w:asciiTheme="majorHAnsi" w:hAnsiTheme="majorHAnsi"/>
          <w:szCs w:val="22"/>
        </w:rPr>
      </w:pPr>
      <w:r w:rsidRPr="00956631">
        <w:rPr>
          <w:rFonts w:asciiTheme="majorHAnsi" w:hAnsiTheme="majorHAnsi"/>
          <w:szCs w:val="22"/>
        </w:rPr>
        <w:t>Situace v </w:t>
      </w:r>
      <w:r w:rsidR="00564D56">
        <w:rPr>
          <w:rFonts w:asciiTheme="majorHAnsi" w:hAnsiTheme="majorHAnsi"/>
          <w:szCs w:val="22"/>
        </w:rPr>
        <w:t>Ostrově</w:t>
      </w:r>
      <w:r w:rsidRPr="00956631">
        <w:rPr>
          <w:rFonts w:asciiTheme="majorHAnsi" w:hAnsiTheme="majorHAnsi"/>
          <w:szCs w:val="22"/>
        </w:rPr>
        <w:t xml:space="preserve"> koresponduje s tímto trendem. Z toho lze usuzovat, že se nejedná pouze o migraci v rámci regionu, ale že jde o celkový odliv obyvatel z kraje. </w:t>
      </w:r>
    </w:p>
    <w:p w:rsidR="00155DC6" w:rsidRPr="004A3E24" w:rsidRDefault="00155DC6" w:rsidP="00155DC6">
      <w:pPr>
        <w:pStyle w:val="Nadpis6"/>
        <w:rPr>
          <w:rFonts w:asciiTheme="majorHAnsi" w:hAnsiTheme="majorHAnsi"/>
        </w:rPr>
      </w:pPr>
      <w:r w:rsidRPr="004A3E24">
        <w:rPr>
          <w:rFonts w:asciiTheme="majorHAnsi" w:hAnsiTheme="majorHAnsi"/>
        </w:rPr>
        <w:lastRenderedPageBreak/>
        <w:t>Územní rozmístění obyvatelstva</w:t>
      </w:r>
    </w:p>
    <w:p w:rsidR="00155DC6" w:rsidRDefault="00155DC6" w:rsidP="00155DC6">
      <w:pPr>
        <w:spacing w:before="0" w:after="0" w:line="240" w:lineRule="auto"/>
        <w:jc w:val="left"/>
        <w:rPr>
          <w:rFonts w:asciiTheme="majorHAnsi" w:hAnsiTheme="majorHAnsi"/>
          <w:color w:val="FF0000"/>
        </w:rPr>
      </w:pPr>
    </w:p>
    <w:p w:rsidR="00956631" w:rsidRPr="00956631" w:rsidRDefault="00F57E2D" w:rsidP="00956631">
      <w:pPr>
        <w:spacing w:before="0" w:after="120"/>
        <w:rPr>
          <w:rFonts w:asciiTheme="majorHAnsi" w:hAnsiTheme="majorHAnsi"/>
          <w:szCs w:val="22"/>
        </w:rPr>
      </w:pPr>
      <w:r>
        <w:rPr>
          <w:rFonts w:asciiTheme="majorHAnsi" w:hAnsiTheme="majorHAnsi"/>
          <w:szCs w:val="22"/>
        </w:rPr>
        <w:t>Karlovarský kraj</w:t>
      </w:r>
      <w:r w:rsidR="00956631" w:rsidRPr="00956631">
        <w:rPr>
          <w:rFonts w:asciiTheme="majorHAnsi" w:hAnsiTheme="majorHAnsi"/>
          <w:szCs w:val="22"/>
        </w:rPr>
        <w:t xml:space="preserve"> vykazuje hustotu obyvatel porovnatelnou s regiony </w:t>
      </w:r>
      <w:r>
        <w:rPr>
          <w:rFonts w:asciiTheme="majorHAnsi" w:hAnsiTheme="majorHAnsi"/>
          <w:szCs w:val="22"/>
        </w:rPr>
        <w:t>jižní</w:t>
      </w:r>
      <w:r w:rsidR="00956631" w:rsidRPr="00956631">
        <w:rPr>
          <w:rFonts w:asciiTheme="majorHAnsi" w:hAnsiTheme="majorHAnsi"/>
          <w:szCs w:val="22"/>
        </w:rPr>
        <w:t xml:space="preserve"> poloviny Čech. </w:t>
      </w:r>
      <w:r>
        <w:rPr>
          <w:rFonts w:asciiTheme="majorHAnsi" w:hAnsiTheme="majorHAnsi"/>
          <w:szCs w:val="22"/>
        </w:rPr>
        <w:t>Z pohledu SO ORP je největší hustota ve SO ORP Sokolov a naopak nejmenší ve SO ORP Kraslice.</w:t>
      </w:r>
      <w:r w:rsidR="00956631" w:rsidRPr="00956631">
        <w:rPr>
          <w:rFonts w:asciiTheme="majorHAnsi" w:hAnsiTheme="majorHAnsi"/>
          <w:szCs w:val="22"/>
        </w:rPr>
        <w:t xml:space="preserve"> </w:t>
      </w:r>
    </w:p>
    <w:p w:rsidR="00684E79" w:rsidRPr="00F42013" w:rsidRDefault="00684E79" w:rsidP="00684E79">
      <w:pPr>
        <w:rPr>
          <w:rFonts w:asciiTheme="majorHAnsi" w:hAnsiTheme="majorHAnsi"/>
          <w:sz w:val="18"/>
          <w:szCs w:val="18"/>
        </w:rPr>
      </w:pPr>
      <w:bookmarkStart w:id="53" w:name="_Toc516058979"/>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14</w:t>
      </w:r>
      <w:r w:rsidR="005B55A2" w:rsidRPr="00F42013">
        <w:rPr>
          <w:rFonts w:cs="Arial-ItalicMT"/>
          <w:b/>
          <w:bCs/>
          <w:iCs/>
          <w:color w:val="372C74"/>
          <w:spacing w:val="10"/>
          <w:sz w:val="18"/>
          <w:szCs w:val="22"/>
        </w:rPr>
        <w:fldChar w:fldCharType="end"/>
      </w:r>
      <w:r w:rsidRPr="00F42013">
        <w:rPr>
          <w:rFonts w:cs="Arial-ItalicMT"/>
          <w:iCs/>
          <w:sz w:val="18"/>
          <w:szCs w:val="18"/>
        </w:rPr>
        <w:t xml:space="preserve"> - </w:t>
      </w:r>
      <w:r w:rsidRPr="00684E79">
        <w:rPr>
          <w:rFonts w:asciiTheme="majorHAnsi" w:hAnsiTheme="majorHAnsi"/>
          <w:sz w:val="18"/>
          <w:szCs w:val="18"/>
        </w:rPr>
        <w:t>Hustota obyvatelstva ve správních obvodech ORP a krajích</w:t>
      </w:r>
      <w:r w:rsidR="001E3876">
        <w:rPr>
          <w:rFonts w:asciiTheme="majorHAnsi" w:hAnsiTheme="majorHAnsi"/>
          <w:sz w:val="18"/>
          <w:szCs w:val="18"/>
        </w:rPr>
        <w:t xml:space="preserve"> - kartogram</w:t>
      </w:r>
      <w:bookmarkEnd w:id="53"/>
    </w:p>
    <w:p w:rsidR="00155DC6" w:rsidRPr="001C4D71" w:rsidRDefault="00155DC6" w:rsidP="00155DC6">
      <w:pPr>
        <w:spacing w:before="0" w:after="120"/>
        <w:jc w:val="center"/>
        <w:rPr>
          <w:rFonts w:asciiTheme="majorHAnsi" w:hAnsiTheme="majorHAnsi"/>
          <w:sz w:val="16"/>
          <w:szCs w:val="16"/>
        </w:rPr>
      </w:pPr>
      <w:r w:rsidRPr="001C4D71">
        <w:rPr>
          <w:rFonts w:asciiTheme="majorHAnsi" w:hAnsiTheme="majorHAnsi"/>
          <w:noProof/>
          <w:sz w:val="16"/>
          <w:szCs w:val="16"/>
          <w:lang w:eastAsia="cs-CZ" w:bidi="ar-SA"/>
        </w:rPr>
        <w:drawing>
          <wp:inline distT="0" distB="0" distL="0" distR="0">
            <wp:extent cx="3832948" cy="2476500"/>
            <wp:effectExtent l="19050" t="0" r="0" b="0"/>
            <wp:docPr id="30" name="Picture 30" descr="APPLE HDD:Users:stepankodera:RegioPartner, s.r.o.:2013:006 - Uherský Brod:002 - Analytická část:podklady:mapy a kartogramy:hustota obyva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PPLE HDD:Users:stepankodera:RegioPartner, s.r.o.:2013:006 - Uherský Brod:002 - Analytická část:podklady:mapy a kartogramy:hustota obyvatel.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8889"/>
                    <a:stretch/>
                  </pic:blipFill>
                  <pic:spPr bwMode="auto">
                    <a:xfrm>
                      <a:off x="0" y="0"/>
                      <a:ext cx="3832948" cy="2476500"/>
                    </a:xfrm>
                    <a:prstGeom prst="rect">
                      <a:avLst/>
                    </a:prstGeom>
                    <a:noFill/>
                    <a:ln>
                      <a:noFill/>
                    </a:ln>
                    <a:extLst>
                      <a:ext uri="{53640926-AAD7-44D8-BBD7-CCE9431645EC}">
                        <a14:shadowObscured xmlns:a14="http://schemas.microsoft.com/office/drawing/2010/main"/>
                      </a:ext>
                    </a:extLst>
                  </pic:spPr>
                </pic:pic>
              </a:graphicData>
            </a:graphic>
          </wp:inline>
        </w:drawing>
      </w:r>
    </w:p>
    <w:p w:rsidR="00155DC6" w:rsidRPr="00456D66" w:rsidRDefault="00155DC6" w:rsidP="00456D66">
      <w:pPr>
        <w:spacing w:before="0" w:after="120"/>
        <w:rPr>
          <w:rFonts w:asciiTheme="majorHAnsi" w:hAnsiTheme="majorHAnsi"/>
          <w:szCs w:val="22"/>
        </w:rPr>
      </w:pPr>
      <w:r w:rsidRPr="00456D66">
        <w:rPr>
          <w:rFonts w:asciiTheme="majorHAnsi" w:hAnsiTheme="majorHAnsi"/>
          <w:szCs w:val="22"/>
        </w:rPr>
        <w:t>V </w:t>
      </w:r>
      <w:r w:rsidR="00560DFB" w:rsidRPr="00456D66">
        <w:rPr>
          <w:rFonts w:asciiTheme="majorHAnsi" w:hAnsiTheme="majorHAnsi"/>
          <w:szCs w:val="22"/>
        </w:rPr>
        <w:t>ORP</w:t>
      </w:r>
      <w:r w:rsidRPr="00456D66">
        <w:rPr>
          <w:rFonts w:asciiTheme="majorHAnsi" w:hAnsiTheme="majorHAnsi"/>
          <w:szCs w:val="22"/>
        </w:rPr>
        <w:t xml:space="preserve"> </w:t>
      </w:r>
      <w:r w:rsidR="00F57E2D">
        <w:rPr>
          <w:rFonts w:asciiTheme="majorHAnsi" w:hAnsiTheme="majorHAnsi"/>
          <w:szCs w:val="22"/>
        </w:rPr>
        <w:t>Ostrov</w:t>
      </w:r>
      <w:r w:rsidRPr="00456D66">
        <w:rPr>
          <w:rFonts w:asciiTheme="majorHAnsi" w:hAnsiTheme="majorHAnsi"/>
          <w:szCs w:val="22"/>
        </w:rPr>
        <w:t xml:space="preserve"> se nachází celkem </w:t>
      </w:r>
      <w:r w:rsidR="00F57E2D">
        <w:rPr>
          <w:rFonts w:asciiTheme="majorHAnsi" w:hAnsiTheme="majorHAnsi"/>
          <w:szCs w:val="22"/>
        </w:rPr>
        <w:t>15</w:t>
      </w:r>
      <w:r w:rsidR="0067750D" w:rsidRPr="00456D66">
        <w:rPr>
          <w:rFonts w:asciiTheme="majorHAnsi" w:hAnsiTheme="majorHAnsi"/>
          <w:szCs w:val="22"/>
        </w:rPr>
        <w:t xml:space="preserve"> </w:t>
      </w:r>
      <w:r w:rsidRPr="00456D66">
        <w:rPr>
          <w:rFonts w:asciiTheme="majorHAnsi" w:hAnsiTheme="majorHAnsi"/>
          <w:szCs w:val="22"/>
        </w:rPr>
        <w:t>obcí</w:t>
      </w:r>
      <w:r w:rsidR="008205B5">
        <w:rPr>
          <w:rFonts w:asciiTheme="majorHAnsi" w:hAnsiTheme="majorHAnsi"/>
          <w:szCs w:val="22"/>
        </w:rPr>
        <w:t>, z nichž největší je</w:t>
      </w:r>
      <w:r w:rsidRPr="00456D66">
        <w:rPr>
          <w:rFonts w:asciiTheme="majorHAnsi" w:hAnsiTheme="majorHAnsi"/>
          <w:szCs w:val="22"/>
        </w:rPr>
        <w:t xml:space="preserve"> </w:t>
      </w:r>
      <w:r w:rsidR="00560DFB" w:rsidRPr="00456D66">
        <w:rPr>
          <w:rFonts w:asciiTheme="majorHAnsi" w:hAnsiTheme="majorHAnsi"/>
          <w:szCs w:val="22"/>
        </w:rPr>
        <w:t>m</w:t>
      </w:r>
      <w:r w:rsidRPr="00456D66">
        <w:rPr>
          <w:rFonts w:asciiTheme="majorHAnsi" w:hAnsiTheme="majorHAnsi"/>
          <w:szCs w:val="22"/>
        </w:rPr>
        <w:t>ěst</w:t>
      </w:r>
      <w:r w:rsidR="008205B5">
        <w:rPr>
          <w:rFonts w:asciiTheme="majorHAnsi" w:hAnsiTheme="majorHAnsi"/>
          <w:szCs w:val="22"/>
        </w:rPr>
        <w:t>o</w:t>
      </w:r>
      <w:r w:rsidRPr="00456D66">
        <w:rPr>
          <w:rFonts w:asciiTheme="majorHAnsi" w:hAnsiTheme="majorHAnsi"/>
          <w:szCs w:val="22"/>
        </w:rPr>
        <w:t xml:space="preserve"> </w:t>
      </w:r>
      <w:r w:rsidR="000F51CF">
        <w:rPr>
          <w:rFonts w:asciiTheme="majorHAnsi" w:hAnsiTheme="majorHAnsi"/>
          <w:szCs w:val="22"/>
        </w:rPr>
        <w:t>Ostrov</w:t>
      </w:r>
      <w:r w:rsidR="00456D66" w:rsidRPr="00456D66">
        <w:rPr>
          <w:rFonts w:asciiTheme="majorHAnsi" w:hAnsiTheme="majorHAnsi"/>
          <w:szCs w:val="22"/>
        </w:rPr>
        <w:t xml:space="preserve"> s 16 </w:t>
      </w:r>
      <w:r w:rsidR="00F57E2D">
        <w:rPr>
          <w:rFonts w:asciiTheme="majorHAnsi" w:hAnsiTheme="majorHAnsi"/>
          <w:szCs w:val="22"/>
        </w:rPr>
        <w:t>949</w:t>
      </w:r>
      <w:r w:rsidR="00456D66" w:rsidRPr="00456D66">
        <w:rPr>
          <w:rFonts w:asciiTheme="majorHAnsi" w:hAnsiTheme="majorHAnsi"/>
          <w:szCs w:val="22"/>
        </w:rPr>
        <w:t xml:space="preserve"> obyvateli. D</w:t>
      </w:r>
      <w:r w:rsidR="0067750D" w:rsidRPr="00456D66">
        <w:rPr>
          <w:rFonts w:asciiTheme="majorHAnsi" w:hAnsiTheme="majorHAnsi"/>
          <w:szCs w:val="22"/>
        </w:rPr>
        <w:t xml:space="preserve">ruhým </w:t>
      </w:r>
      <w:r w:rsidRPr="00456D66">
        <w:rPr>
          <w:rFonts w:asciiTheme="majorHAnsi" w:hAnsiTheme="majorHAnsi"/>
          <w:szCs w:val="22"/>
        </w:rPr>
        <w:t>největší</w:t>
      </w:r>
      <w:r w:rsidR="0067750D" w:rsidRPr="00456D66">
        <w:rPr>
          <w:rFonts w:asciiTheme="majorHAnsi" w:hAnsiTheme="majorHAnsi"/>
          <w:szCs w:val="22"/>
        </w:rPr>
        <w:t>m městem</w:t>
      </w:r>
      <w:r w:rsidRPr="00456D66">
        <w:rPr>
          <w:rFonts w:asciiTheme="majorHAnsi" w:hAnsiTheme="majorHAnsi"/>
          <w:szCs w:val="22"/>
        </w:rPr>
        <w:t xml:space="preserve"> j</w:t>
      </w:r>
      <w:r w:rsidR="00F57E2D">
        <w:rPr>
          <w:rFonts w:asciiTheme="majorHAnsi" w:hAnsiTheme="majorHAnsi"/>
          <w:szCs w:val="22"/>
        </w:rPr>
        <w:t>e</w:t>
      </w:r>
      <w:r w:rsidRPr="00456D66">
        <w:rPr>
          <w:rFonts w:asciiTheme="majorHAnsi" w:hAnsiTheme="majorHAnsi"/>
          <w:szCs w:val="22"/>
        </w:rPr>
        <w:t xml:space="preserve"> </w:t>
      </w:r>
      <w:r w:rsidR="00F57E2D">
        <w:rPr>
          <w:rFonts w:asciiTheme="majorHAnsi" w:hAnsiTheme="majorHAnsi"/>
          <w:szCs w:val="22"/>
        </w:rPr>
        <w:t>Jáchymov</w:t>
      </w:r>
      <w:r w:rsidRPr="00456D66">
        <w:rPr>
          <w:rFonts w:asciiTheme="majorHAnsi" w:hAnsiTheme="majorHAnsi"/>
          <w:szCs w:val="22"/>
        </w:rPr>
        <w:t>, kter</w:t>
      </w:r>
      <w:r w:rsidR="00F57E2D">
        <w:rPr>
          <w:rFonts w:asciiTheme="majorHAnsi" w:hAnsiTheme="majorHAnsi"/>
          <w:szCs w:val="22"/>
        </w:rPr>
        <w:t>ý</w:t>
      </w:r>
      <w:r w:rsidRPr="00456D66">
        <w:rPr>
          <w:rFonts w:asciiTheme="majorHAnsi" w:hAnsiTheme="majorHAnsi"/>
          <w:szCs w:val="22"/>
        </w:rPr>
        <w:t xml:space="preserve"> </w:t>
      </w:r>
      <w:r w:rsidR="008205B5" w:rsidRPr="00456D66">
        <w:rPr>
          <w:rFonts w:asciiTheme="majorHAnsi" w:hAnsiTheme="majorHAnsi"/>
          <w:szCs w:val="22"/>
        </w:rPr>
        <w:t xml:space="preserve">měl </w:t>
      </w:r>
      <w:r w:rsidRPr="00456D66">
        <w:rPr>
          <w:rFonts w:asciiTheme="majorHAnsi" w:hAnsiTheme="majorHAnsi"/>
          <w:szCs w:val="22"/>
        </w:rPr>
        <w:t>ke konci roku 201</w:t>
      </w:r>
      <w:r w:rsidR="00F57E2D">
        <w:rPr>
          <w:rFonts w:asciiTheme="majorHAnsi" w:hAnsiTheme="majorHAnsi"/>
          <w:szCs w:val="22"/>
        </w:rPr>
        <w:t>6</w:t>
      </w:r>
      <w:r w:rsidRPr="00456D66">
        <w:rPr>
          <w:rFonts w:asciiTheme="majorHAnsi" w:hAnsiTheme="majorHAnsi"/>
          <w:szCs w:val="22"/>
        </w:rPr>
        <w:t xml:space="preserve"> celkem </w:t>
      </w:r>
      <w:r w:rsidR="00F57E2D">
        <w:rPr>
          <w:rFonts w:asciiTheme="majorHAnsi" w:hAnsiTheme="majorHAnsi"/>
          <w:szCs w:val="22"/>
        </w:rPr>
        <w:t>2</w:t>
      </w:r>
      <w:r w:rsidRPr="00456D66">
        <w:rPr>
          <w:rFonts w:asciiTheme="majorHAnsi" w:hAnsiTheme="majorHAnsi"/>
          <w:szCs w:val="22"/>
        </w:rPr>
        <w:t xml:space="preserve"> </w:t>
      </w:r>
      <w:r w:rsidR="00F57E2D">
        <w:rPr>
          <w:rFonts w:asciiTheme="majorHAnsi" w:hAnsiTheme="majorHAnsi"/>
          <w:szCs w:val="22"/>
        </w:rPr>
        <w:t>586</w:t>
      </w:r>
      <w:r w:rsidRPr="00456D66">
        <w:rPr>
          <w:rFonts w:asciiTheme="majorHAnsi" w:hAnsiTheme="majorHAnsi"/>
          <w:szCs w:val="22"/>
        </w:rPr>
        <w:t xml:space="preserve"> obyvatel. </w:t>
      </w:r>
      <w:r w:rsidR="008B391B" w:rsidRPr="00456D66">
        <w:rPr>
          <w:rFonts w:asciiTheme="majorHAnsi" w:hAnsiTheme="majorHAnsi"/>
          <w:szCs w:val="22"/>
        </w:rPr>
        <w:t xml:space="preserve">Třetí </w:t>
      </w:r>
      <w:r w:rsidRPr="00456D66">
        <w:rPr>
          <w:rFonts w:asciiTheme="majorHAnsi" w:hAnsiTheme="majorHAnsi"/>
          <w:szCs w:val="22"/>
        </w:rPr>
        <w:t xml:space="preserve">největší </w:t>
      </w:r>
      <w:r w:rsidR="008B391B" w:rsidRPr="00456D66">
        <w:rPr>
          <w:rFonts w:asciiTheme="majorHAnsi" w:hAnsiTheme="majorHAnsi"/>
          <w:szCs w:val="22"/>
        </w:rPr>
        <w:t>obcí sledovaného území</w:t>
      </w:r>
      <w:r w:rsidR="00FD3DDC" w:rsidRPr="00456D66">
        <w:rPr>
          <w:rFonts w:asciiTheme="majorHAnsi" w:hAnsiTheme="majorHAnsi"/>
          <w:szCs w:val="22"/>
        </w:rPr>
        <w:t xml:space="preserve"> </w:t>
      </w:r>
      <w:r w:rsidRPr="00456D66">
        <w:rPr>
          <w:rFonts w:asciiTheme="majorHAnsi" w:hAnsiTheme="majorHAnsi"/>
          <w:szCs w:val="22"/>
        </w:rPr>
        <w:t xml:space="preserve">je </w:t>
      </w:r>
      <w:r w:rsidR="00F57E2D">
        <w:rPr>
          <w:rFonts w:asciiTheme="majorHAnsi" w:hAnsiTheme="majorHAnsi"/>
          <w:szCs w:val="22"/>
        </w:rPr>
        <w:t>Hroznětín s 2 006 obyvateli</w:t>
      </w:r>
      <w:r w:rsidRPr="00456D66">
        <w:rPr>
          <w:rFonts w:asciiTheme="majorHAnsi" w:hAnsiTheme="majorHAnsi"/>
          <w:szCs w:val="22"/>
        </w:rPr>
        <w:t xml:space="preserve">. </w:t>
      </w:r>
      <w:r w:rsidR="00F57E2D">
        <w:rPr>
          <w:rFonts w:asciiTheme="majorHAnsi" w:hAnsiTheme="majorHAnsi"/>
          <w:szCs w:val="22"/>
        </w:rPr>
        <w:t xml:space="preserve">Zhruba 1 000 obyvatel mají Abertamy a Merklín. Zbývajících 10 obcí obývá pouze </w:t>
      </w:r>
      <w:r w:rsidR="00EC6767">
        <w:rPr>
          <w:rFonts w:asciiTheme="majorHAnsi" w:hAnsiTheme="majorHAnsi"/>
          <w:szCs w:val="22"/>
        </w:rPr>
        <w:t>cca 16 % obyvatel SO ORP Ostrov.</w:t>
      </w:r>
    </w:p>
    <w:p w:rsidR="00155DC6" w:rsidRPr="00456D66" w:rsidRDefault="00155DC6" w:rsidP="00456D66">
      <w:pPr>
        <w:spacing w:before="0" w:after="120"/>
        <w:rPr>
          <w:rFonts w:asciiTheme="majorHAnsi" w:hAnsiTheme="majorHAnsi"/>
          <w:szCs w:val="22"/>
        </w:rPr>
      </w:pPr>
      <w:r w:rsidRPr="00456D66">
        <w:rPr>
          <w:rFonts w:asciiTheme="majorHAnsi" w:hAnsiTheme="majorHAnsi"/>
          <w:szCs w:val="22"/>
        </w:rPr>
        <w:t xml:space="preserve">Podrobnější přehled o počtu obyvatel </w:t>
      </w:r>
      <w:r w:rsidR="008205B5">
        <w:rPr>
          <w:rFonts w:asciiTheme="majorHAnsi" w:hAnsiTheme="majorHAnsi"/>
          <w:szCs w:val="22"/>
        </w:rPr>
        <w:t xml:space="preserve">v jednotlivých obcích správního obvodu ORP Ostrov </w:t>
      </w:r>
      <w:r w:rsidRPr="00456D66">
        <w:rPr>
          <w:rFonts w:asciiTheme="majorHAnsi" w:hAnsiTheme="majorHAnsi"/>
          <w:szCs w:val="22"/>
        </w:rPr>
        <w:t xml:space="preserve">je v následující tabulce. </w:t>
      </w:r>
    </w:p>
    <w:p w:rsidR="000D1BFB" w:rsidRDefault="000D1BFB" w:rsidP="000D1BFB">
      <w:pPr>
        <w:spacing w:before="0" w:after="120"/>
        <w:rPr>
          <w:rFonts w:asciiTheme="minorHAnsi" w:hAnsiTheme="minorHAnsi" w:cs="Arial-ItalicMT"/>
          <w:iCs/>
          <w:sz w:val="18"/>
          <w:szCs w:val="18"/>
        </w:rPr>
      </w:pPr>
      <w:bookmarkStart w:id="54" w:name="_Toc516059013"/>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4</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0D1BFB">
        <w:rPr>
          <w:rFonts w:asciiTheme="minorHAnsi" w:hAnsiTheme="minorHAnsi" w:cs="Arial-ItalicMT"/>
          <w:iCs/>
          <w:sz w:val="18"/>
          <w:szCs w:val="18"/>
        </w:rPr>
        <w:t xml:space="preserve">Počet obyvatel v obcích ORP </w:t>
      </w:r>
      <w:r w:rsidR="004B76D8">
        <w:rPr>
          <w:rFonts w:asciiTheme="minorHAnsi" w:hAnsiTheme="minorHAnsi" w:cs="Arial-ItalicMT"/>
          <w:iCs/>
          <w:sz w:val="18"/>
          <w:szCs w:val="18"/>
        </w:rPr>
        <w:t>Ostrov</w:t>
      </w:r>
      <w:r w:rsidRPr="000D1BFB">
        <w:rPr>
          <w:rFonts w:asciiTheme="minorHAnsi" w:hAnsiTheme="minorHAnsi" w:cs="Arial-ItalicMT"/>
          <w:iCs/>
          <w:sz w:val="18"/>
          <w:szCs w:val="18"/>
        </w:rPr>
        <w:t xml:space="preserve"> k 31. 12. 201</w:t>
      </w:r>
      <w:r w:rsidR="00EC6767">
        <w:rPr>
          <w:rFonts w:asciiTheme="minorHAnsi" w:hAnsiTheme="minorHAnsi" w:cs="Arial-ItalicMT"/>
          <w:iCs/>
          <w:sz w:val="18"/>
          <w:szCs w:val="18"/>
        </w:rPr>
        <w:t>6</w:t>
      </w:r>
      <w:bookmarkEnd w:id="54"/>
    </w:p>
    <w:tbl>
      <w:tblPr>
        <w:tblStyle w:val="Mkatabulky"/>
        <w:tblpPr w:leftFromText="141" w:rightFromText="141" w:vertAnchor="text" w:tblpY="1"/>
        <w:tblOverlap w:val="never"/>
        <w:tblW w:w="0" w:type="auto"/>
        <w:tblLook w:val="04A0" w:firstRow="1" w:lastRow="0" w:firstColumn="1" w:lastColumn="0" w:noHBand="0" w:noVBand="1"/>
      </w:tblPr>
      <w:tblGrid>
        <w:gridCol w:w="2633"/>
        <w:gridCol w:w="1761"/>
      </w:tblGrid>
      <w:tr w:rsidR="00FC3A60" w:rsidTr="00FC3A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3" w:type="dxa"/>
          </w:tcPr>
          <w:p w:rsidR="00FC3A60" w:rsidRPr="00FC3A60" w:rsidRDefault="00FC3A60" w:rsidP="00FC3A60">
            <w:pPr>
              <w:spacing w:before="0" w:after="0" w:line="240" w:lineRule="auto"/>
              <w:jc w:val="center"/>
              <w:rPr>
                <w:rFonts w:asciiTheme="minorHAnsi" w:hAnsiTheme="minorHAnsi" w:cs="Arial-ItalicMT"/>
                <w:b/>
                <w:iCs/>
                <w:sz w:val="18"/>
                <w:szCs w:val="18"/>
              </w:rPr>
            </w:pPr>
            <w:r>
              <w:rPr>
                <w:rFonts w:asciiTheme="minorHAnsi" w:hAnsiTheme="minorHAnsi" w:cs="Arial-ItalicMT"/>
                <w:b/>
                <w:iCs/>
                <w:sz w:val="18"/>
                <w:szCs w:val="18"/>
              </w:rPr>
              <w:t>Název obce</w:t>
            </w:r>
          </w:p>
        </w:tc>
        <w:tc>
          <w:tcPr>
            <w:tcW w:w="1761" w:type="dxa"/>
          </w:tcPr>
          <w:p w:rsidR="00FC3A60" w:rsidRPr="00FC3A60" w:rsidRDefault="00FC3A60" w:rsidP="00FC3A6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ItalicMT"/>
                <w:b/>
                <w:iCs/>
                <w:sz w:val="18"/>
                <w:szCs w:val="18"/>
              </w:rPr>
            </w:pPr>
            <w:r>
              <w:rPr>
                <w:rFonts w:asciiTheme="minorHAnsi" w:hAnsiTheme="minorHAnsi" w:cs="Arial-ItalicMT"/>
                <w:b/>
                <w:iCs/>
                <w:sz w:val="18"/>
                <w:szCs w:val="18"/>
              </w:rPr>
              <w:t>Celkem obyvatel</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Ostrov</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16 949</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Jáchymov</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2 586</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Hroznětín</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2 006</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Abertamy</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1 050</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Merklín</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1 005</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Vojkovice</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636</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Pernink</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632</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Hájek</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616</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Stráž nad Ohří</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589</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Velichov</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551</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Horní Blatná</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439</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Potůčky</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423</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Krásný Les</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323</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Boží Dar</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232</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DA71EC" w:rsidRDefault="00FC3A60" w:rsidP="00BE0EB4">
            <w:pPr>
              <w:spacing w:before="0" w:after="0" w:line="240" w:lineRule="auto"/>
              <w:rPr>
                <w:sz w:val="16"/>
                <w:szCs w:val="16"/>
              </w:rPr>
            </w:pPr>
            <w:r w:rsidRPr="00DA71EC">
              <w:rPr>
                <w:sz w:val="16"/>
                <w:szCs w:val="16"/>
              </w:rPr>
              <w:t>Doupovské Hradiště</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DA71EC">
              <w:rPr>
                <w:sz w:val="16"/>
                <w:szCs w:val="16"/>
              </w:rPr>
              <w:t>159</w:t>
            </w:r>
          </w:p>
        </w:tc>
      </w:tr>
      <w:tr w:rsidR="00FC3A60" w:rsidTr="00BE0EB4">
        <w:tc>
          <w:tcPr>
            <w:cnfStyle w:val="001000000000" w:firstRow="0" w:lastRow="0" w:firstColumn="1" w:lastColumn="0" w:oddVBand="0" w:evenVBand="0" w:oddHBand="0" w:evenHBand="0" w:firstRowFirstColumn="0" w:firstRowLastColumn="0" w:lastRowFirstColumn="0" w:lastRowLastColumn="0"/>
            <w:tcW w:w="2633" w:type="dxa"/>
            <w:vAlign w:val="top"/>
          </w:tcPr>
          <w:p w:rsidR="00FC3A60" w:rsidRPr="00FC3A60" w:rsidRDefault="00FC3A60" w:rsidP="00BE0EB4">
            <w:pPr>
              <w:spacing w:before="0" w:after="0" w:line="240" w:lineRule="auto"/>
              <w:rPr>
                <w:b/>
                <w:sz w:val="16"/>
                <w:szCs w:val="16"/>
              </w:rPr>
            </w:pPr>
            <w:r w:rsidRPr="00FC3A60">
              <w:rPr>
                <w:b/>
                <w:sz w:val="16"/>
                <w:szCs w:val="16"/>
              </w:rPr>
              <w:t>Celkem správní obvod ORP</w:t>
            </w:r>
          </w:p>
        </w:tc>
        <w:tc>
          <w:tcPr>
            <w:tcW w:w="1761" w:type="dxa"/>
            <w:vAlign w:val="top"/>
          </w:tcPr>
          <w:p w:rsidR="00FC3A60" w:rsidRPr="00DA71EC" w:rsidRDefault="00FC3A60" w:rsidP="00BE0EB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b/>
                <w:color w:val="000000"/>
                <w:sz w:val="16"/>
                <w:szCs w:val="16"/>
              </w:rPr>
            </w:pPr>
            <w:r w:rsidRPr="00DA71EC">
              <w:rPr>
                <w:b/>
                <w:color w:val="000000"/>
                <w:sz w:val="16"/>
                <w:szCs w:val="16"/>
              </w:rPr>
              <w:t>28 196</w:t>
            </w:r>
          </w:p>
        </w:tc>
      </w:tr>
    </w:tbl>
    <w:p w:rsidR="00FC3A60" w:rsidRDefault="00FC3A60" w:rsidP="000D1BFB">
      <w:pPr>
        <w:spacing w:before="0" w:after="120"/>
        <w:rPr>
          <w:rFonts w:asciiTheme="minorHAnsi" w:hAnsiTheme="minorHAnsi" w:cs="Arial-ItalicMT"/>
          <w:iCs/>
          <w:sz w:val="18"/>
          <w:szCs w:val="18"/>
        </w:rPr>
      </w:pPr>
    </w:p>
    <w:p w:rsidR="00FC3A60" w:rsidRDefault="00FC3A60" w:rsidP="000D1BFB">
      <w:pPr>
        <w:spacing w:before="0" w:after="120"/>
        <w:rPr>
          <w:rFonts w:asciiTheme="minorHAnsi" w:hAnsiTheme="minorHAnsi" w:cs="Arial-ItalicMT"/>
          <w:iCs/>
          <w:sz w:val="18"/>
          <w:szCs w:val="18"/>
        </w:rPr>
      </w:pPr>
    </w:p>
    <w:p w:rsidR="00FC3A60" w:rsidRDefault="00FC3A60" w:rsidP="000D1BFB">
      <w:pPr>
        <w:spacing w:before="0" w:after="120"/>
        <w:rPr>
          <w:rFonts w:asciiTheme="minorHAnsi" w:hAnsiTheme="minorHAnsi" w:cs="Arial-ItalicMT"/>
          <w:iCs/>
          <w:sz w:val="18"/>
          <w:szCs w:val="18"/>
        </w:rPr>
      </w:pPr>
    </w:p>
    <w:p w:rsidR="00155DC6" w:rsidRPr="001C4D71" w:rsidRDefault="00FC3A60" w:rsidP="00155DC6">
      <w:pPr>
        <w:spacing w:before="0" w:after="120"/>
        <w:rPr>
          <w:rFonts w:asciiTheme="majorHAnsi" w:hAnsiTheme="majorHAnsi"/>
          <w:sz w:val="16"/>
          <w:szCs w:val="16"/>
        </w:rPr>
      </w:pPr>
      <w:r>
        <w:rPr>
          <w:rFonts w:asciiTheme="minorHAnsi" w:hAnsiTheme="minorHAnsi" w:cs="Arial-ItalicMT"/>
          <w:iCs/>
          <w:sz w:val="18"/>
          <w:szCs w:val="18"/>
        </w:rPr>
        <w:br w:type="textWrapping" w:clear="all"/>
      </w:r>
      <w:r w:rsidR="00155DC6" w:rsidRPr="001C4D71">
        <w:rPr>
          <w:rFonts w:asciiTheme="majorHAnsi" w:hAnsiTheme="majorHAnsi"/>
          <w:sz w:val="16"/>
          <w:szCs w:val="16"/>
        </w:rPr>
        <w:t xml:space="preserve">Zdroj: ČSÚ – </w:t>
      </w:r>
      <w:r w:rsidR="00EC6767">
        <w:rPr>
          <w:rFonts w:asciiTheme="majorHAnsi" w:hAnsiTheme="majorHAnsi"/>
          <w:sz w:val="16"/>
          <w:szCs w:val="16"/>
        </w:rPr>
        <w:t>Karlovarský</w:t>
      </w:r>
      <w:r w:rsidR="00155DC6" w:rsidRPr="001C4D71">
        <w:rPr>
          <w:rFonts w:asciiTheme="majorHAnsi" w:hAnsiTheme="majorHAnsi"/>
          <w:sz w:val="16"/>
          <w:szCs w:val="16"/>
        </w:rPr>
        <w:t xml:space="preserve"> kraj</w:t>
      </w:r>
    </w:p>
    <w:p w:rsidR="00155DC6" w:rsidRPr="001C4D71" w:rsidRDefault="00155DC6" w:rsidP="00155DC6">
      <w:pPr>
        <w:spacing w:after="0"/>
        <w:rPr>
          <w:rFonts w:ascii="Times New Roman" w:hAnsi="Times New Roman"/>
          <w:noProof/>
          <w:lang w:val="en-US" w:bidi="ar-SA"/>
        </w:rPr>
      </w:pPr>
    </w:p>
    <w:p w:rsidR="00155DC6" w:rsidRDefault="00155DC6" w:rsidP="00366F90">
      <w:pPr>
        <w:spacing w:before="0" w:after="0" w:line="240" w:lineRule="auto"/>
        <w:rPr>
          <w:rFonts w:asciiTheme="majorHAnsi" w:hAnsiTheme="majorHAnsi"/>
        </w:rPr>
      </w:pPr>
      <w:r w:rsidRPr="00366F90">
        <w:rPr>
          <w:rFonts w:asciiTheme="majorHAnsi" w:hAnsiTheme="majorHAnsi"/>
        </w:rPr>
        <w:lastRenderedPageBreak/>
        <w:t xml:space="preserve">Na územní rozmístění obyvatelstva se také můžeme podívat i z pohledu množství obyvatel žijících ve městech. SO ORP </w:t>
      </w:r>
      <w:r w:rsidR="00EC6767">
        <w:rPr>
          <w:rFonts w:asciiTheme="majorHAnsi" w:hAnsiTheme="majorHAnsi"/>
        </w:rPr>
        <w:t>Ostrov</w:t>
      </w:r>
      <w:r w:rsidR="00B12897" w:rsidRPr="00366F90">
        <w:rPr>
          <w:rFonts w:asciiTheme="majorHAnsi" w:hAnsiTheme="majorHAnsi"/>
        </w:rPr>
        <w:t xml:space="preserve"> </w:t>
      </w:r>
      <w:r w:rsidRPr="00366F90">
        <w:rPr>
          <w:rFonts w:asciiTheme="majorHAnsi" w:hAnsiTheme="majorHAnsi"/>
        </w:rPr>
        <w:t>z tohoto pohledu spadá k</w:t>
      </w:r>
      <w:r w:rsidR="00793ACC">
        <w:rPr>
          <w:rFonts w:asciiTheme="majorHAnsi" w:hAnsiTheme="majorHAnsi"/>
        </w:rPr>
        <w:t xml:space="preserve"> územím</w:t>
      </w:r>
      <w:r w:rsidRPr="00366F90">
        <w:rPr>
          <w:rFonts w:asciiTheme="majorHAnsi" w:hAnsiTheme="majorHAnsi"/>
        </w:rPr>
        <w:t>, kde převažuje obyvatelstvo žijíc</w:t>
      </w:r>
      <w:r w:rsidR="00EC6767">
        <w:rPr>
          <w:rFonts w:asciiTheme="majorHAnsi" w:hAnsiTheme="majorHAnsi"/>
        </w:rPr>
        <w:t>í</w:t>
      </w:r>
      <w:r w:rsidRPr="00366F90">
        <w:rPr>
          <w:rFonts w:asciiTheme="majorHAnsi" w:hAnsiTheme="majorHAnsi"/>
        </w:rPr>
        <w:t xml:space="preserve"> </w:t>
      </w:r>
      <w:r w:rsidR="00EC6767">
        <w:rPr>
          <w:rFonts w:asciiTheme="majorHAnsi" w:hAnsiTheme="majorHAnsi"/>
        </w:rPr>
        <w:t>ve městech</w:t>
      </w:r>
      <w:r w:rsidR="002C4C4B">
        <w:rPr>
          <w:rFonts w:asciiTheme="majorHAnsi" w:hAnsiTheme="majorHAnsi"/>
        </w:rPr>
        <w:t xml:space="preserve"> (</w:t>
      </w:r>
      <w:r w:rsidR="00EC6767">
        <w:rPr>
          <w:rFonts w:asciiTheme="majorHAnsi" w:hAnsiTheme="majorHAnsi"/>
        </w:rPr>
        <w:t>nad</w:t>
      </w:r>
      <w:r w:rsidR="002C4C4B">
        <w:rPr>
          <w:rFonts w:asciiTheme="majorHAnsi" w:hAnsiTheme="majorHAnsi"/>
        </w:rPr>
        <w:t xml:space="preserve"> </w:t>
      </w:r>
      <w:r w:rsidR="00EC6767">
        <w:rPr>
          <w:rFonts w:asciiTheme="majorHAnsi" w:hAnsiTheme="majorHAnsi"/>
        </w:rPr>
        <w:t>8</w:t>
      </w:r>
      <w:r w:rsidR="002C4C4B">
        <w:rPr>
          <w:rFonts w:asciiTheme="majorHAnsi" w:hAnsiTheme="majorHAnsi"/>
        </w:rPr>
        <w:t>0 %)</w:t>
      </w:r>
      <w:r w:rsidRPr="00366F90">
        <w:rPr>
          <w:rFonts w:asciiTheme="majorHAnsi" w:hAnsiTheme="majorHAnsi"/>
        </w:rPr>
        <w:t xml:space="preserve">. Z pohledu celorepublikového srovnání </w:t>
      </w:r>
      <w:r w:rsidR="00EC6767">
        <w:rPr>
          <w:rFonts w:asciiTheme="majorHAnsi" w:hAnsiTheme="majorHAnsi"/>
        </w:rPr>
        <w:t>je tento stav charakteristický pro celé severozápadní pomezí republiky</w:t>
      </w:r>
      <w:r w:rsidRPr="00366F90">
        <w:rPr>
          <w:rFonts w:asciiTheme="majorHAnsi" w:hAnsiTheme="majorHAnsi"/>
        </w:rPr>
        <w:t>.</w:t>
      </w:r>
    </w:p>
    <w:p w:rsidR="00684E79" w:rsidRPr="00F42013" w:rsidRDefault="00684E79" w:rsidP="00684E79">
      <w:pPr>
        <w:rPr>
          <w:rFonts w:asciiTheme="majorHAnsi" w:hAnsiTheme="majorHAnsi"/>
          <w:sz w:val="18"/>
          <w:szCs w:val="18"/>
        </w:rPr>
      </w:pPr>
      <w:bookmarkStart w:id="55" w:name="_Toc516058980"/>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15</w:t>
      </w:r>
      <w:r w:rsidR="005B55A2" w:rsidRPr="00F42013">
        <w:rPr>
          <w:rFonts w:cs="Arial-ItalicMT"/>
          <w:b/>
          <w:bCs/>
          <w:iCs/>
          <w:color w:val="372C74"/>
          <w:spacing w:val="10"/>
          <w:sz w:val="18"/>
          <w:szCs w:val="22"/>
        </w:rPr>
        <w:fldChar w:fldCharType="end"/>
      </w:r>
      <w:r w:rsidRPr="00F42013">
        <w:rPr>
          <w:rFonts w:cs="Arial-ItalicMT"/>
          <w:iCs/>
          <w:sz w:val="18"/>
          <w:szCs w:val="18"/>
        </w:rPr>
        <w:t xml:space="preserve"> - </w:t>
      </w:r>
      <w:r w:rsidRPr="00684E79">
        <w:rPr>
          <w:rFonts w:asciiTheme="majorHAnsi" w:hAnsiTheme="majorHAnsi"/>
          <w:sz w:val="18"/>
          <w:szCs w:val="18"/>
        </w:rPr>
        <w:t>Městské obyvatelstvo ve správních obvodech ORP a krajích</w:t>
      </w:r>
      <w:r w:rsidR="001E3876">
        <w:rPr>
          <w:rFonts w:asciiTheme="majorHAnsi" w:hAnsiTheme="majorHAnsi"/>
          <w:sz w:val="18"/>
          <w:szCs w:val="18"/>
        </w:rPr>
        <w:t xml:space="preserve"> - kartogram</w:t>
      </w:r>
      <w:bookmarkEnd w:id="55"/>
    </w:p>
    <w:p w:rsidR="00155DC6" w:rsidRPr="001C4D71" w:rsidRDefault="00155DC6" w:rsidP="00155DC6">
      <w:pPr>
        <w:jc w:val="center"/>
      </w:pPr>
      <w:r w:rsidRPr="001C4D71">
        <w:rPr>
          <w:noProof/>
          <w:lang w:eastAsia="cs-CZ" w:bidi="ar-SA"/>
        </w:rPr>
        <w:drawing>
          <wp:inline distT="0" distB="0" distL="0" distR="0">
            <wp:extent cx="3803142" cy="2471484"/>
            <wp:effectExtent l="19050" t="0" r="6858" b="0"/>
            <wp:docPr id="3" name="Picture 3" descr="APPLE HDD:Users:stepankodera:RegioPartner, s.r.o.:2013:006 - Uherský Brod:002 - Analytická část:podklady:mapy a kartogramy:podíl obyvatel žijících ve m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E HDD:Users:stepankodera:RegioPartner, s.r.o.:2013:006 - Uherský Brod:002 - Analytická část:podklady:mapy a kartogramy:podíl obyvatel žijících ve městě.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8361"/>
                    <a:stretch/>
                  </pic:blipFill>
                  <pic:spPr bwMode="auto">
                    <a:xfrm>
                      <a:off x="0" y="0"/>
                      <a:ext cx="3804434" cy="2472324"/>
                    </a:xfrm>
                    <a:prstGeom prst="rect">
                      <a:avLst/>
                    </a:prstGeom>
                    <a:noFill/>
                    <a:ln>
                      <a:noFill/>
                    </a:ln>
                    <a:extLst>
                      <a:ext uri="{53640926-AAD7-44D8-BBD7-CCE9431645EC}">
                        <a14:shadowObscured xmlns:a14="http://schemas.microsoft.com/office/drawing/2010/main"/>
                      </a:ext>
                    </a:extLst>
                  </pic:spPr>
                </pic:pic>
              </a:graphicData>
            </a:graphic>
          </wp:inline>
        </w:drawing>
      </w:r>
    </w:p>
    <w:p w:rsidR="00155DC6" w:rsidRPr="004A3E24" w:rsidRDefault="00155DC6" w:rsidP="00155DC6">
      <w:pPr>
        <w:pStyle w:val="Nadpis6"/>
        <w:rPr>
          <w:rFonts w:asciiTheme="majorHAnsi" w:hAnsiTheme="majorHAnsi"/>
        </w:rPr>
      </w:pPr>
      <w:r w:rsidRPr="004A3E24">
        <w:rPr>
          <w:rFonts w:asciiTheme="majorHAnsi" w:hAnsiTheme="majorHAnsi"/>
        </w:rPr>
        <w:t>Věková struktura obyvatelstva</w:t>
      </w:r>
    </w:p>
    <w:p w:rsidR="00155DC6" w:rsidRDefault="00155DC6" w:rsidP="00155DC6">
      <w:pPr>
        <w:rPr>
          <w:rFonts w:asciiTheme="majorHAnsi" w:hAnsiTheme="majorHAnsi"/>
        </w:rPr>
      </w:pPr>
      <w:r w:rsidRPr="001C4D71">
        <w:rPr>
          <w:rFonts w:asciiTheme="majorHAnsi" w:hAnsiTheme="majorHAnsi"/>
        </w:rPr>
        <w:t xml:space="preserve">Ve městě </w:t>
      </w:r>
      <w:r w:rsidR="00EC6767">
        <w:rPr>
          <w:rFonts w:asciiTheme="majorHAnsi" w:hAnsiTheme="majorHAnsi"/>
        </w:rPr>
        <w:t>Ostrov</w:t>
      </w:r>
      <w:r w:rsidRPr="001C4D71">
        <w:rPr>
          <w:rFonts w:asciiTheme="majorHAnsi" w:hAnsiTheme="majorHAnsi"/>
        </w:rPr>
        <w:t xml:space="preserve"> ži</w:t>
      </w:r>
      <w:r w:rsidR="00EC6767">
        <w:rPr>
          <w:rFonts w:asciiTheme="majorHAnsi" w:hAnsiTheme="majorHAnsi"/>
        </w:rPr>
        <w:t>lo</w:t>
      </w:r>
      <w:r w:rsidRPr="001C4D71">
        <w:rPr>
          <w:rFonts w:asciiTheme="majorHAnsi" w:hAnsiTheme="majorHAnsi"/>
        </w:rPr>
        <w:t xml:space="preserve"> k 31. 1</w:t>
      </w:r>
      <w:r w:rsidR="00EC6767">
        <w:rPr>
          <w:rFonts w:asciiTheme="majorHAnsi" w:hAnsiTheme="majorHAnsi"/>
        </w:rPr>
        <w:t>2</w:t>
      </w:r>
      <w:r w:rsidRPr="001C4D71">
        <w:rPr>
          <w:rFonts w:asciiTheme="majorHAnsi" w:hAnsiTheme="majorHAnsi"/>
        </w:rPr>
        <w:t>. 201</w:t>
      </w:r>
      <w:r w:rsidR="00EC6767">
        <w:rPr>
          <w:rFonts w:asciiTheme="majorHAnsi" w:hAnsiTheme="majorHAnsi"/>
        </w:rPr>
        <w:t>6</w:t>
      </w:r>
      <w:r w:rsidRPr="001C4D71">
        <w:rPr>
          <w:rFonts w:asciiTheme="majorHAnsi" w:hAnsiTheme="majorHAnsi"/>
        </w:rPr>
        <w:t xml:space="preserve"> celkem 16 </w:t>
      </w:r>
      <w:r w:rsidR="00EC6767">
        <w:rPr>
          <w:rFonts w:asciiTheme="majorHAnsi" w:hAnsiTheme="majorHAnsi"/>
        </w:rPr>
        <w:t>949</w:t>
      </w:r>
      <w:r w:rsidRPr="001C4D71">
        <w:rPr>
          <w:rFonts w:asciiTheme="majorHAnsi" w:hAnsiTheme="majorHAnsi"/>
        </w:rPr>
        <w:t xml:space="preserve"> obyvatel, </w:t>
      </w:r>
      <w:r w:rsidR="00AE32C9">
        <w:rPr>
          <w:rFonts w:asciiTheme="majorHAnsi" w:hAnsiTheme="majorHAnsi"/>
        </w:rPr>
        <w:t xml:space="preserve">z toho </w:t>
      </w:r>
      <w:r w:rsidR="00DA71EC">
        <w:rPr>
          <w:rFonts w:asciiTheme="majorHAnsi" w:hAnsiTheme="majorHAnsi"/>
        </w:rPr>
        <w:t xml:space="preserve">49 </w:t>
      </w:r>
      <w:r w:rsidR="00AE32C9">
        <w:rPr>
          <w:rFonts w:asciiTheme="majorHAnsi" w:hAnsiTheme="majorHAnsi"/>
        </w:rPr>
        <w:t xml:space="preserve">% tvoří muži a </w:t>
      </w:r>
      <w:r w:rsidR="00DA71EC">
        <w:rPr>
          <w:rFonts w:asciiTheme="majorHAnsi" w:hAnsiTheme="majorHAnsi"/>
        </w:rPr>
        <w:t>51</w:t>
      </w:r>
      <w:r w:rsidR="00AE32C9">
        <w:rPr>
          <w:rFonts w:asciiTheme="majorHAnsi" w:hAnsiTheme="majorHAnsi"/>
        </w:rPr>
        <w:t> </w:t>
      </w:r>
      <w:r w:rsidRPr="001C4D71">
        <w:rPr>
          <w:rFonts w:asciiTheme="majorHAnsi" w:hAnsiTheme="majorHAnsi"/>
        </w:rPr>
        <w:t>% ženy. Věkové rozložení je následující. Největší podíl (</w:t>
      </w:r>
      <w:r w:rsidR="00DA71EC">
        <w:rPr>
          <w:rFonts w:asciiTheme="majorHAnsi" w:hAnsiTheme="majorHAnsi"/>
        </w:rPr>
        <w:t>66</w:t>
      </w:r>
      <w:r w:rsidRPr="001C4D71">
        <w:rPr>
          <w:rFonts w:asciiTheme="majorHAnsi" w:hAnsiTheme="majorHAnsi"/>
        </w:rPr>
        <w:t xml:space="preserve"> %) na struktuře obyvatelstva podle věku jsou obyvatelé v rozmezí od 15 do 64 let. Další dvě zbývající věkové kategorie jsou vyrovnané. Skupina obyvatelstva ve věku nad 65 let tvoří </w:t>
      </w:r>
      <w:r w:rsidR="00DA71EC">
        <w:rPr>
          <w:rFonts w:asciiTheme="majorHAnsi" w:hAnsiTheme="majorHAnsi"/>
        </w:rPr>
        <w:t>19</w:t>
      </w:r>
      <w:r w:rsidRPr="001C4D71">
        <w:rPr>
          <w:rFonts w:asciiTheme="majorHAnsi" w:hAnsiTheme="majorHAnsi"/>
        </w:rPr>
        <w:t xml:space="preserve"> % obyvatel a děti do 14 let věku zabírají </w:t>
      </w:r>
      <w:r w:rsidR="001E3876">
        <w:rPr>
          <w:rFonts w:asciiTheme="majorHAnsi" w:hAnsiTheme="majorHAnsi"/>
        </w:rPr>
        <w:t xml:space="preserve">již jen </w:t>
      </w:r>
      <w:r w:rsidR="00DA71EC">
        <w:rPr>
          <w:rFonts w:asciiTheme="majorHAnsi" w:hAnsiTheme="majorHAnsi"/>
        </w:rPr>
        <w:t xml:space="preserve">15 </w:t>
      </w:r>
      <w:r w:rsidRPr="001C4D71">
        <w:rPr>
          <w:rFonts w:asciiTheme="majorHAnsi" w:hAnsiTheme="majorHAnsi"/>
        </w:rPr>
        <w:t xml:space="preserve">% obyvatelstva </w:t>
      </w:r>
      <w:r w:rsidR="00420BD2">
        <w:rPr>
          <w:rFonts w:asciiTheme="majorHAnsi" w:hAnsiTheme="majorHAnsi"/>
        </w:rPr>
        <w:t>města</w:t>
      </w:r>
      <w:r w:rsidRPr="001C4D71">
        <w:rPr>
          <w:rFonts w:asciiTheme="majorHAnsi" w:hAnsiTheme="majorHAnsi"/>
        </w:rPr>
        <w:t>.</w:t>
      </w:r>
      <w:r w:rsidR="00AE32C9">
        <w:rPr>
          <w:rFonts w:asciiTheme="majorHAnsi" w:hAnsiTheme="majorHAnsi"/>
        </w:rPr>
        <w:t xml:space="preserve"> Protože převažují senioři na dětmi, je index stáří </w:t>
      </w:r>
      <w:r w:rsidR="00DA71EC">
        <w:rPr>
          <w:rFonts w:asciiTheme="majorHAnsi" w:hAnsiTheme="majorHAnsi"/>
        </w:rPr>
        <w:t>123,9.</w:t>
      </w:r>
    </w:p>
    <w:p w:rsidR="0021041E" w:rsidRDefault="0021041E" w:rsidP="00155DC6">
      <w:pPr>
        <w:rPr>
          <w:rFonts w:asciiTheme="majorHAnsi" w:hAnsiTheme="majorHAnsi"/>
        </w:rPr>
      </w:pPr>
      <w:r>
        <w:rPr>
          <w:rFonts w:asciiTheme="majorHAnsi" w:hAnsiTheme="majorHAnsi"/>
        </w:rPr>
        <w:t xml:space="preserve">Ve věkové struktuře obyvatel města Ostrov lze vysledovat v každé věkové kategorii zřetelný trend. Zatím co v roce 2000 a </w:t>
      </w:r>
      <w:r w:rsidR="004B2DAA">
        <w:rPr>
          <w:rFonts w:asciiTheme="majorHAnsi" w:hAnsiTheme="majorHAnsi"/>
        </w:rPr>
        <w:t xml:space="preserve">po </w:t>
      </w:r>
      <w:r>
        <w:rPr>
          <w:rFonts w:asciiTheme="majorHAnsi" w:hAnsiTheme="majorHAnsi"/>
        </w:rPr>
        <w:t>následující dekádu činil podíl obyvatel ve věku 15 až 64 let cca 70 %, tak za posledních několik let poklesl o 10 procentních bodů.</w:t>
      </w:r>
    </w:p>
    <w:p w:rsidR="0021041E" w:rsidRDefault="0021041E" w:rsidP="00155DC6">
      <w:pPr>
        <w:rPr>
          <w:rFonts w:asciiTheme="majorHAnsi" w:hAnsiTheme="majorHAnsi"/>
        </w:rPr>
      </w:pPr>
      <w:r>
        <w:rPr>
          <w:rFonts w:asciiTheme="majorHAnsi" w:hAnsiTheme="majorHAnsi"/>
        </w:rPr>
        <w:t>Kategorie seniorů ve sledovaném období trvale roste a z původních 13,4 % vzrostla na 18,8 %. Podíl dětí se v</w:t>
      </w:r>
      <w:r w:rsidR="004B2DAA">
        <w:rPr>
          <w:rFonts w:asciiTheme="majorHAnsi" w:hAnsiTheme="majorHAnsi"/>
        </w:rPr>
        <w:t> porovnání s rokem 2000 sice snížil o 1 procentní bod, ale v poslední dekádě má mírný, avšak stále rostoucí trend. Přesto se nevyrovná nárůstu počtu seniorů a index stáří, zejména v posledním období razantně narůstá.</w:t>
      </w:r>
    </w:p>
    <w:p w:rsidR="004B2DAA" w:rsidRDefault="004B2DAA" w:rsidP="00155DC6">
      <w:pPr>
        <w:rPr>
          <w:rFonts w:asciiTheme="majorHAnsi" w:hAnsiTheme="majorHAnsi"/>
        </w:rPr>
      </w:pPr>
      <w:r>
        <w:rPr>
          <w:rFonts w:asciiTheme="majorHAnsi" w:hAnsiTheme="majorHAnsi"/>
        </w:rPr>
        <w:t>Z toho lze odvodit, že region opouštějí zejména mladí bezdětní</w:t>
      </w:r>
      <w:r w:rsidR="00F06E55">
        <w:rPr>
          <w:rFonts w:asciiTheme="majorHAnsi" w:hAnsiTheme="majorHAnsi"/>
        </w:rPr>
        <w:t xml:space="preserve"> obyvatelé (v případě Ostrova více než 200 za poslední několik let) a že trend přírůstku seniorů je trvalý. To bude vytvářet, a v současnosti již vytváří tlak na sociální služby</w:t>
      </w:r>
      <w:r w:rsidR="0066705F">
        <w:rPr>
          <w:rFonts w:asciiTheme="majorHAnsi" w:hAnsiTheme="majorHAnsi"/>
        </w:rPr>
        <w:t>, pokud se tento trend nepodaří zvrátit</w:t>
      </w:r>
      <w:r w:rsidR="00F06E55">
        <w:rPr>
          <w:rFonts w:asciiTheme="majorHAnsi" w:hAnsiTheme="majorHAnsi"/>
        </w:rPr>
        <w:t>.</w:t>
      </w:r>
    </w:p>
    <w:p w:rsidR="00F06E55" w:rsidRDefault="00F06E55" w:rsidP="00155DC6">
      <w:pPr>
        <w:rPr>
          <w:rFonts w:asciiTheme="majorHAnsi" w:hAnsiTheme="majorHAnsi"/>
        </w:rPr>
      </w:pPr>
      <w:r>
        <w:rPr>
          <w:rFonts w:asciiTheme="majorHAnsi" w:hAnsiTheme="majorHAnsi"/>
        </w:rPr>
        <w:t>Pozitivní trend nárůstu dětí v posledních letech se naopak projeví v tlaku na místa ve školách a předškolních zařízeních.</w:t>
      </w:r>
    </w:p>
    <w:p w:rsidR="00843540" w:rsidRDefault="00843540" w:rsidP="00155DC6">
      <w:pPr>
        <w:rPr>
          <w:rFonts w:asciiTheme="majorHAnsi" w:hAnsiTheme="majorHAnsi"/>
        </w:rPr>
      </w:pPr>
      <w:r>
        <w:rPr>
          <w:rFonts w:asciiTheme="majorHAnsi" w:hAnsiTheme="majorHAnsi"/>
        </w:rPr>
        <w:lastRenderedPageBreak/>
        <w:t>Vývoj v počtu dětí a seniorů dokumentují následující dva obrázky.</w:t>
      </w:r>
    </w:p>
    <w:p w:rsidR="00843540" w:rsidRDefault="00843540" w:rsidP="00155DC6">
      <w:pPr>
        <w:rPr>
          <w:rFonts w:asciiTheme="majorHAnsi" w:hAnsiTheme="majorHAnsi"/>
        </w:rPr>
      </w:pPr>
      <w:bookmarkStart w:id="56" w:name="_Toc516058981"/>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16</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Pr="00843540">
        <w:rPr>
          <w:rFonts w:asciiTheme="majorHAnsi" w:hAnsiTheme="majorHAnsi"/>
        </w:rPr>
        <w:t xml:space="preserve"> - </w:t>
      </w:r>
      <w:r>
        <w:rPr>
          <w:rFonts w:asciiTheme="majorHAnsi" w:hAnsiTheme="majorHAnsi"/>
        </w:rPr>
        <w:t>Počet dětí a meziroční přírůstky</w:t>
      </w:r>
      <w:bookmarkEnd w:id="56"/>
    </w:p>
    <w:p w:rsidR="00843540" w:rsidRDefault="00843540" w:rsidP="00155DC6">
      <w:pPr>
        <w:rPr>
          <w:rFonts w:asciiTheme="majorHAnsi" w:hAnsiTheme="majorHAnsi"/>
        </w:rPr>
      </w:pPr>
      <w:r w:rsidRPr="00843540">
        <w:rPr>
          <w:noProof/>
          <w:lang w:eastAsia="cs-CZ" w:bidi="ar-SA"/>
        </w:rPr>
        <w:drawing>
          <wp:inline distT="0" distB="0" distL="0" distR="0">
            <wp:extent cx="5913120" cy="2630245"/>
            <wp:effectExtent l="19050" t="0" r="0" b="0"/>
            <wp:docPr id="32"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srcRect/>
                    <a:stretch>
                      <a:fillRect/>
                    </a:stretch>
                  </pic:blipFill>
                  <pic:spPr bwMode="auto">
                    <a:xfrm>
                      <a:off x="0" y="0"/>
                      <a:ext cx="5913120" cy="2630245"/>
                    </a:xfrm>
                    <a:prstGeom prst="rect">
                      <a:avLst/>
                    </a:prstGeom>
                    <a:noFill/>
                    <a:ln w="9525">
                      <a:noFill/>
                      <a:miter lim="800000"/>
                      <a:headEnd/>
                      <a:tailEnd/>
                    </a:ln>
                  </pic:spPr>
                </pic:pic>
              </a:graphicData>
            </a:graphic>
          </wp:inline>
        </w:drawing>
      </w:r>
    </w:p>
    <w:p w:rsidR="00424432" w:rsidRPr="00424432" w:rsidRDefault="00424432" w:rsidP="00424432">
      <w:pPr>
        <w:spacing w:before="0" w:after="0" w:line="240" w:lineRule="auto"/>
        <w:rPr>
          <w:rFonts w:asciiTheme="majorHAnsi" w:hAnsiTheme="majorHAnsi"/>
          <w:sz w:val="16"/>
          <w:szCs w:val="16"/>
        </w:rPr>
      </w:pPr>
      <w:r w:rsidRPr="00424432">
        <w:rPr>
          <w:rFonts w:asciiTheme="majorHAnsi" w:hAnsiTheme="majorHAnsi"/>
          <w:sz w:val="16"/>
          <w:szCs w:val="16"/>
        </w:rPr>
        <w:t xml:space="preserve">Zdroj: ČSÚ </w:t>
      </w:r>
    </w:p>
    <w:p w:rsidR="00843540" w:rsidRDefault="00843540" w:rsidP="00843540">
      <w:pPr>
        <w:rPr>
          <w:rFonts w:asciiTheme="majorHAnsi" w:hAnsiTheme="majorHAnsi"/>
        </w:rPr>
      </w:pPr>
      <w:bookmarkStart w:id="57" w:name="_Toc516058982"/>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17</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Pr="00843540">
        <w:rPr>
          <w:rFonts w:asciiTheme="majorHAnsi" w:hAnsiTheme="majorHAnsi"/>
        </w:rPr>
        <w:t xml:space="preserve"> - </w:t>
      </w:r>
      <w:r>
        <w:rPr>
          <w:rFonts w:asciiTheme="majorHAnsi" w:hAnsiTheme="majorHAnsi"/>
        </w:rPr>
        <w:t>Počet seniorů a meziroční přírůstky</w:t>
      </w:r>
      <w:bookmarkEnd w:id="57"/>
    </w:p>
    <w:p w:rsidR="00843540" w:rsidRDefault="00843540" w:rsidP="00155DC6">
      <w:pPr>
        <w:rPr>
          <w:rFonts w:asciiTheme="majorHAnsi" w:hAnsiTheme="majorHAnsi"/>
        </w:rPr>
      </w:pPr>
      <w:r w:rsidRPr="00843540">
        <w:rPr>
          <w:noProof/>
          <w:lang w:eastAsia="cs-CZ" w:bidi="ar-SA"/>
        </w:rPr>
        <w:drawing>
          <wp:inline distT="0" distB="0" distL="0" distR="0">
            <wp:extent cx="5913120" cy="2630245"/>
            <wp:effectExtent l="19050" t="0" r="0" b="0"/>
            <wp:docPr id="3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a:stretch>
                      <a:fillRect/>
                    </a:stretch>
                  </pic:blipFill>
                  <pic:spPr bwMode="auto">
                    <a:xfrm>
                      <a:off x="0" y="0"/>
                      <a:ext cx="5913120" cy="2630245"/>
                    </a:xfrm>
                    <a:prstGeom prst="rect">
                      <a:avLst/>
                    </a:prstGeom>
                    <a:noFill/>
                    <a:ln w="9525">
                      <a:noFill/>
                      <a:miter lim="800000"/>
                      <a:headEnd/>
                      <a:tailEnd/>
                    </a:ln>
                  </pic:spPr>
                </pic:pic>
              </a:graphicData>
            </a:graphic>
          </wp:inline>
        </w:drawing>
      </w:r>
    </w:p>
    <w:p w:rsidR="00843540" w:rsidRPr="00424432" w:rsidRDefault="00424432" w:rsidP="00155DC6">
      <w:pPr>
        <w:rPr>
          <w:rFonts w:asciiTheme="majorHAnsi" w:hAnsiTheme="majorHAnsi"/>
          <w:sz w:val="16"/>
          <w:szCs w:val="16"/>
        </w:rPr>
      </w:pPr>
      <w:r w:rsidRPr="00424432">
        <w:rPr>
          <w:rFonts w:asciiTheme="majorHAnsi" w:hAnsiTheme="majorHAnsi"/>
          <w:sz w:val="16"/>
          <w:szCs w:val="16"/>
        </w:rPr>
        <w:t>Zdroj: ČSÚ</w:t>
      </w:r>
    </w:p>
    <w:p w:rsidR="00843540" w:rsidRDefault="00424432" w:rsidP="00155DC6">
      <w:pPr>
        <w:rPr>
          <w:rFonts w:asciiTheme="majorHAnsi" w:hAnsiTheme="majorHAnsi"/>
        </w:rPr>
      </w:pPr>
      <w:r>
        <w:rPr>
          <w:rFonts w:asciiTheme="majorHAnsi" w:hAnsiTheme="majorHAnsi"/>
        </w:rPr>
        <w:t>Analýza statistických dat o demografické situaci ve městě Ostrov ukazuje, že počínaje rokem 2010 nastává nová situace.</w:t>
      </w:r>
      <w:r w:rsidR="00B955B7">
        <w:rPr>
          <w:rFonts w:asciiTheme="majorHAnsi" w:hAnsiTheme="majorHAnsi"/>
        </w:rPr>
        <w:t xml:space="preserve"> Ubývá střední práceschopná generace, prudce narůstá podíl seniorů (což je negativní informace), ale roste i počet dětí (což je pozitivní informace, pokud nejde o populační explozi v sociálně vyloučených lokalitách).</w:t>
      </w:r>
    </w:p>
    <w:p w:rsidR="00B955B7" w:rsidRDefault="00B955B7" w:rsidP="00155DC6">
      <w:pPr>
        <w:rPr>
          <w:rFonts w:asciiTheme="majorHAnsi" w:hAnsiTheme="majorHAnsi"/>
        </w:rPr>
      </w:pPr>
      <w:r>
        <w:rPr>
          <w:rFonts w:asciiTheme="majorHAnsi" w:hAnsiTheme="majorHAnsi"/>
        </w:rPr>
        <w:lastRenderedPageBreak/>
        <w:t xml:space="preserve">V reálných číslech se jedná o průměrný meziroční přírůstek cca 40 dětí, což se s odstupem nutně projeví v nárocích na místa ve škole a v předškolních zařízeních. </w:t>
      </w:r>
    </w:p>
    <w:p w:rsidR="00B955B7" w:rsidRDefault="00B955B7" w:rsidP="00155DC6">
      <w:pPr>
        <w:rPr>
          <w:rFonts w:asciiTheme="majorHAnsi" w:hAnsiTheme="majorHAnsi"/>
        </w:rPr>
      </w:pPr>
      <w:r>
        <w:rPr>
          <w:rFonts w:asciiTheme="majorHAnsi" w:hAnsiTheme="majorHAnsi"/>
        </w:rPr>
        <w:t>U seniorů je roční přírůstek zhruba dvojnásobný</w:t>
      </w:r>
      <w:r w:rsidR="000E2A86">
        <w:rPr>
          <w:rFonts w:asciiTheme="majorHAnsi" w:hAnsiTheme="majorHAnsi"/>
        </w:rPr>
        <w:t>, což lze interpretovat meziročním růstem požadavků na sociální služby v úrovni 3 až 5 %.</w:t>
      </w:r>
    </w:p>
    <w:p w:rsidR="00B61D60" w:rsidRDefault="00155DC6" w:rsidP="00155DC6">
      <w:pPr>
        <w:rPr>
          <w:rFonts w:asciiTheme="majorHAnsi" w:hAnsiTheme="majorHAnsi"/>
        </w:rPr>
      </w:pPr>
      <w:r w:rsidRPr="001C4D71">
        <w:rPr>
          <w:rFonts w:asciiTheme="majorHAnsi" w:hAnsiTheme="majorHAnsi"/>
        </w:rPr>
        <w:t xml:space="preserve">Srovnání stavu indexu stáří v SO ORP </w:t>
      </w:r>
      <w:r w:rsidR="00605156">
        <w:rPr>
          <w:rFonts w:asciiTheme="majorHAnsi" w:hAnsiTheme="majorHAnsi"/>
        </w:rPr>
        <w:t>Ostrov</w:t>
      </w:r>
      <w:r w:rsidR="00DB7F37" w:rsidRPr="001C4D71">
        <w:rPr>
          <w:rFonts w:asciiTheme="majorHAnsi" w:hAnsiTheme="majorHAnsi"/>
        </w:rPr>
        <w:t xml:space="preserve"> </w:t>
      </w:r>
      <w:r w:rsidRPr="001C4D71">
        <w:rPr>
          <w:rFonts w:asciiTheme="majorHAnsi" w:hAnsiTheme="majorHAnsi"/>
        </w:rPr>
        <w:t xml:space="preserve">a ostatních SO ORP je vyobrazeno na následujícím obrázku, nicméně je zapotřebí podotknout, že </w:t>
      </w:r>
      <w:r w:rsidR="00E310D7">
        <w:rPr>
          <w:rFonts w:asciiTheme="majorHAnsi" w:hAnsiTheme="majorHAnsi"/>
        </w:rPr>
        <w:t xml:space="preserve">se jedná o </w:t>
      </w:r>
      <w:r w:rsidRPr="001C4D71">
        <w:rPr>
          <w:rFonts w:asciiTheme="majorHAnsi" w:hAnsiTheme="majorHAnsi"/>
        </w:rPr>
        <w:t>stav z roku 2011</w:t>
      </w:r>
      <w:r w:rsidR="006B7726">
        <w:rPr>
          <w:rFonts w:asciiTheme="majorHAnsi" w:hAnsiTheme="majorHAnsi"/>
        </w:rPr>
        <w:t>.</w:t>
      </w:r>
      <w:r w:rsidRPr="001C4D71">
        <w:rPr>
          <w:rFonts w:asciiTheme="majorHAnsi" w:hAnsiTheme="majorHAnsi"/>
        </w:rPr>
        <w:t xml:space="preserve"> </w:t>
      </w:r>
      <w:r w:rsidR="00E310D7">
        <w:rPr>
          <w:rFonts w:asciiTheme="majorHAnsi" w:hAnsiTheme="majorHAnsi"/>
        </w:rPr>
        <w:t>N</w:t>
      </w:r>
      <w:r w:rsidRPr="001C4D71">
        <w:rPr>
          <w:rFonts w:asciiTheme="majorHAnsi" w:hAnsiTheme="majorHAnsi"/>
        </w:rPr>
        <w:t>a základě poslední</w:t>
      </w:r>
      <w:r w:rsidR="00E310D7">
        <w:rPr>
          <w:rFonts w:asciiTheme="majorHAnsi" w:hAnsiTheme="majorHAnsi"/>
        </w:rPr>
        <w:t>ch</w:t>
      </w:r>
      <w:r w:rsidRPr="001C4D71">
        <w:rPr>
          <w:rFonts w:asciiTheme="majorHAnsi" w:hAnsiTheme="majorHAnsi"/>
        </w:rPr>
        <w:t xml:space="preserve"> proveden</w:t>
      </w:r>
      <w:r w:rsidR="00E310D7">
        <w:rPr>
          <w:rFonts w:asciiTheme="majorHAnsi" w:hAnsiTheme="majorHAnsi"/>
        </w:rPr>
        <w:t>ých</w:t>
      </w:r>
      <w:r w:rsidRPr="001C4D71">
        <w:rPr>
          <w:rFonts w:asciiTheme="majorHAnsi" w:hAnsiTheme="majorHAnsi"/>
        </w:rPr>
        <w:t xml:space="preserve"> šetření j</w:t>
      </w:r>
      <w:r w:rsidR="00E310D7">
        <w:rPr>
          <w:rFonts w:asciiTheme="majorHAnsi" w:hAnsiTheme="majorHAnsi"/>
        </w:rPr>
        <w:t>e</w:t>
      </w:r>
      <w:r w:rsidRPr="001C4D71">
        <w:rPr>
          <w:rFonts w:asciiTheme="majorHAnsi" w:hAnsiTheme="majorHAnsi"/>
        </w:rPr>
        <w:t xml:space="preserve"> patrné, že v </w:t>
      </w:r>
      <w:r w:rsidR="00044F4A">
        <w:rPr>
          <w:rFonts w:asciiTheme="majorHAnsi" w:hAnsiTheme="majorHAnsi"/>
        </w:rPr>
        <w:t>letech</w:t>
      </w:r>
      <w:r w:rsidRPr="001C4D71">
        <w:rPr>
          <w:rFonts w:asciiTheme="majorHAnsi" w:hAnsiTheme="majorHAnsi"/>
        </w:rPr>
        <w:t xml:space="preserve"> 2012</w:t>
      </w:r>
      <w:r w:rsidR="00044F4A">
        <w:rPr>
          <w:rFonts w:asciiTheme="majorHAnsi" w:hAnsiTheme="majorHAnsi"/>
        </w:rPr>
        <w:t>-201</w:t>
      </w:r>
      <w:r w:rsidR="00605156">
        <w:rPr>
          <w:rFonts w:asciiTheme="majorHAnsi" w:hAnsiTheme="majorHAnsi"/>
        </w:rPr>
        <w:t>6</w:t>
      </w:r>
      <w:r w:rsidR="00044F4A">
        <w:rPr>
          <w:rFonts w:asciiTheme="majorHAnsi" w:hAnsiTheme="majorHAnsi"/>
        </w:rPr>
        <w:t xml:space="preserve"> se situace dále zhoršovala </w:t>
      </w:r>
      <w:r w:rsidR="00E04382">
        <w:rPr>
          <w:rFonts w:asciiTheme="majorHAnsi" w:hAnsiTheme="majorHAnsi"/>
        </w:rPr>
        <w:t xml:space="preserve">a </w:t>
      </w:r>
      <w:r w:rsidR="00044F4A">
        <w:rPr>
          <w:rFonts w:asciiTheme="majorHAnsi" w:hAnsiTheme="majorHAnsi"/>
        </w:rPr>
        <w:t xml:space="preserve">index stáří překročil </w:t>
      </w:r>
      <w:r w:rsidR="00FC3A60">
        <w:rPr>
          <w:rFonts w:asciiTheme="majorHAnsi" w:hAnsiTheme="majorHAnsi"/>
        </w:rPr>
        <w:t>v Ostrově 123 a ve SO ORP 114</w:t>
      </w:r>
      <w:r w:rsidR="00044F4A">
        <w:rPr>
          <w:rFonts w:asciiTheme="majorHAnsi" w:hAnsiTheme="majorHAnsi"/>
        </w:rPr>
        <w:t>.</w:t>
      </w:r>
      <w:r w:rsidRPr="001C4D71">
        <w:rPr>
          <w:rFonts w:asciiTheme="majorHAnsi" w:hAnsiTheme="majorHAnsi"/>
        </w:rPr>
        <w:t xml:space="preserve"> </w:t>
      </w:r>
      <w:r w:rsidR="00B61D60">
        <w:rPr>
          <w:rFonts w:asciiTheme="majorHAnsi" w:hAnsiTheme="majorHAnsi"/>
        </w:rPr>
        <w:t xml:space="preserve">SO ORP </w:t>
      </w:r>
      <w:r w:rsidR="00605156">
        <w:rPr>
          <w:rFonts w:asciiTheme="majorHAnsi" w:hAnsiTheme="majorHAnsi"/>
        </w:rPr>
        <w:t>Ostrov</w:t>
      </w:r>
      <w:r w:rsidR="00B61D60">
        <w:rPr>
          <w:rFonts w:asciiTheme="majorHAnsi" w:hAnsiTheme="majorHAnsi"/>
        </w:rPr>
        <w:t xml:space="preserve"> by tak </w:t>
      </w:r>
      <w:r w:rsidRPr="001C4D71">
        <w:rPr>
          <w:rFonts w:asciiTheme="majorHAnsi" w:hAnsiTheme="majorHAnsi"/>
        </w:rPr>
        <w:t>spadal</w:t>
      </w:r>
      <w:r w:rsidR="00FC3A60">
        <w:rPr>
          <w:rFonts w:asciiTheme="majorHAnsi" w:hAnsiTheme="majorHAnsi"/>
        </w:rPr>
        <w:t>a</w:t>
      </w:r>
      <w:r w:rsidRPr="001C4D71">
        <w:rPr>
          <w:rFonts w:asciiTheme="majorHAnsi" w:hAnsiTheme="majorHAnsi"/>
        </w:rPr>
        <w:t xml:space="preserve"> do oranžové barvy</w:t>
      </w:r>
      <w:r w:rsidR="00E04382">
        <w:rPr>
          <w:rFonts w:asciiTheme="majorHAnsi" w:hAnsiTheme="majorHAnsi"/>
        </w:rPr>
        <w:t xml:space="preserve"> v následujícím obrázku</w:t>
      </w:r>
      <w:r w:rsidR="00FC3A60">
        <w:rPr>
          <w:rFonts w:asciiTheme="majorHAnsi" w:hAnsiTheme="majorHAnsi"/>
        </w:rPr>
        <w:t xml:space="preserve"> a samotné město Ostrov téměř do hnědé.</w:t>
      </w:r>
      <w:r w:rsidRPr="001C4D71">
        <w:rPr>
          <w:rFonts w:asciiTheme="majorHAnsi" w:hAnsiTheme="majorHAnsi"/>
        </w:rPr>
        <w:t xml:space="preserve"> </w:t>
      </w:r>
    </w:p>
    <w:p w:rsidR="00155DC6" w:rsidRDefault="00155DC6" w:rsidP="00155DC6">
      <w:pPr>
        <w:rPr>
          <w:rFonts w:asciiTheme="majorHAnsi" w:hAnsiTheme="majorHAnsi"/>
        </w:rPr>
      </w:pPr>
      <w:r w:rsidRPr="001C4D71">
        <w:rPr>
          <w:rFonts w:asciiTheme="majorHAnsi" w:hAnsiTheme="majorHAnsi"/>
        </w:rPr>
        <w:t>Přestože index stáří</w:t>
      </w:r>
      <w:r w:rsidR="00B61D60">
        <w:rPr>
          <w:rFonts w:asciiTheme="majorHAnsi" w:hAnsiTheme="majorHAnsi"/>
        </w:rPr>
        <w:t xml:space="preserve">, a to </w:t>
      </w:r>
      <w:r w:rsidRPr="001C4D71">
        <w:rPr>
          <w:rFonts w:asciiTheme="majorHAnsi" w:hAnsiTheme="majorHAnsi"/>
        </w:rPr>
        <w:t>nejen v tomto území roste, je zapotřebí si uvědomit, že i tento</w:t>
      </w:r>
      <w:r w:rsidR="00B61D60">
        <w:rPr>
          <w:rFonts w:asciiTheme="majorHAnsi" w:hAnsiTheme="majorHAnsi"/>
        </w:rPr>
        <w:t xml:space="preserve"> obecně nepříznivý vývoj</w:t>
      </w:r>
      <w:r w:rsidRPr="001C4D71">
        <w:rPr>
          <w:rFonts w:asciiTheme="majorHAnsi" w:hAnsiTheme="majorHAnsi"/>
        </w:rPr>
        <w:t xml:space="preserve"> lze využít v posílení místní ekonomiky</w:t>
      </w:r>
      <w:r w:rsidR="00B61D60">
        <w:rPr>
          <w:rFonts w:asciiTheme="majorHAnsi" w:hAnsiTheme="majorHAnsi"/>
        </w:rPr>
        <w:t>, například</w:t>
      </w:r>
      <w:r w:rsidRPr="001C4D71">
        <w:rPr>
          <w:rFonts w:asciiTheme="majorHAnsi" w:hAnsiTheme="majorHAnsi"/>
        </w:rPr>
        <w:t xml:space="preserve"> rozvojem sociálních a doplňkových služeb zacílených na stárnoucí populaci.</w:t>
      </w:r>
    </w:p>
    <w:p w:rsidR="001F0A4D" w:rsidRPr="00F42013" w:rsidRDefault="001F0A4D" w:rsidP="001F0A4D">
      <w:pPr>
        <w:rPr>
          <w:rFonts w:asciiTheme="majorHAnsi" w:hAnsiTheme="majorHAnsi"/>
          <w:sz w:val="18"/>
          <w:szCs w:val="18"/>
        </w:rPr>
      </w:pPr>
      <w:bookmarkStart w:id="58" w:name="_Toc516058983"/>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18</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1E3876">
        <w:rPr>
          <w:rFonts w:cs="Arial-ItalicMT"/>
          <w:iCs/>
          <w:sz w:val="18"/>
          <w:szCs w:val="18"/>
        </w:rPr>
        <w:t>–</w:t>
      </w:r>
      <w:r w:rsidRPr="00F42013">
        <w:rPr>
          <w:rFonts w:cs="Arial-ItalicMT"/>
          <w:iCs/>
          <w:sz w:val="18"/>
          <w:szCs w:val="18"/>
        </w:rPr>
        <w:t xml:space="preserve"> </w:t>
      </w:r>
      <w:r w:rsidR="001E3876">
        <w:rPr>
          <w:rFonts w:cs="Arial-ItalicMT"/>
          <w:iCs/>
          <w:sz w:val="18"/>
          <w:szCs w:val="18"/>
        </w:rPr>
        <w:t xml:space="preserve">Kartogram </w:t>
      </w:r>
      <w:r w:rsidR="001E3876">
        <w:rPr>
          <w:rFonts w:asciiTheme="majorHAnsi" w:hAnsiTheme="majorHAnsi"/>
          <w:sz w:val="18"/>
          <w:szCs w:val="18"/>
        </w:rPr>
        <w:t>i</w:t>
      </w:r>
      <w:r w:rsidRPr="001F0A4D">
        <w:rPr>
          <w:rFonts w:asciiTheme="majorHAnsi" w:hAnsiTheme="majorHAnsi"/>
          <w:sz w:val="18"/>
          <w:szCs w:val="18"/>
        </w:rPr>
        <w:t>ndex</w:t>
      </w:r>
      <w:r w:rsidR="001E3876">
        <w:rPr>
          <w:rFonts w:asciiTheme="majorHAnsi" w:hAnsiTheme="majorHAnsi"/>
          <w:sz w:val="18"/>
          <w:szCs w:val="18"/>
        </w:rPr>
        <w:t>u</w:t>
      </w:r>
      <w:r w:rsidRPr="001F0A4D">
        <w:rPr>
          <w:rFonts w:asciiTheme="majorHAnsi" w:hAnsiTheme="majorHAnsi"/>
          <w:sz w:val="18"/>
          <w:szCs w:val="18"/>
        </w:rPr>
        <w:t xml:space="preserve"> stáří ve správních obvodech ORP a krajích</w:t>
      </w:r>
      <w:bookmarkEnd w:id="58"/>
    </w:p>
    <w:p w:rsidR="00155DC6" w:rsidRPr="001C4D71" w:rsidRDefault="00155DC6" w:rsidP="00B87883">
      <w:pPr>
        <w:spacing w:before="0" w:after="0" w:line="240" w:lineRule="auto"/>
        <w:jc w:val="center"/>
        <w:rPr>
          <w:rFonts w:asciiTheme="majorHAnsi" w:hAnsiTheme="majorHAnsi"/>
        </w:rPr>
      </w:pPr>
      <w:r w:rsidRPr="001C4D71">
        <w:rPr>
          <w:rFonts w:asciiTheme="majorHAnsi" w:hAnsiTheme="majorHAnsi"/>
          <w:noProof/>
          <w:lang w:eastAsia="cs-CZ" w:bidi="ar-SA"/>
        </w:rPr>
        <w:drawing>
          <wp:inline distT="0" distB="0" distL="0" distR="0">
            <wp:extent cx="3757316" cy="2438400"/>
            <wp:effectExtent l="19050" t="0" r="0" b="0"/>
            <wp:docPr id="6" name="Picture 6" descr="APPLE HDD:Users:stepankodera:RegioPartner, s.r.o.:2013:006 - Uherský Brod:002 - Analytická část:podklady:mapy a kartogramy:index s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PLE HDD:Users:stepankodera:RegioPartner, s.r.o.:2013:006 - Uherský Brod:002 - Analytická část:podklady:mapy a kartogramy:index stáří.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8485"/>
                    <a:stretch/>
                  </pic:blipFill>
                  <pic:spPr bwMode="auto">
                    <a:xfrm>
                      <a:off x="0" y="0"/>
                      <a:ext cx="3761955" cy="2441411"/>
                    </a:xfrm>
                    <a:prstGeom prst="rect">
                      <a:avLst/>
                    </a:prstGeom>
                    <a:noFill/>
                    <a:ln>
                      <a:noFill/>
                    </a:ln>
                    <a:extLst>
                      <a:ext uri="{53640926-AAD7-44D8-BBD7-CCE9431645EC}">
                        <a14:shadowObscured xmlns:a14="http://schemas.microsoft.com/office/drawing/2010/main"/>
                      </a:ext>
                    </a:extLst>
                  </pic:spPr>
                </pic:pic>
              </a:graphicData>
            </a:graphic>
          </wp:inline>
        </w:drawing>
      </w:r>
    </w:p>
    <w:p w:rsidR="00155DC6" w:rsidRPr="001C4D71" w:rsidRDefault="00073104" w:rsidP="00155DC6">
      <w:pPr>
        <w:rPr>
          <w:rFonts w:asciiTheme="majorHAnsi" w:hAnsiTheme="majorHAnsi"/>
        </w:rPr>
      </w:pPr>
      <w:r>
        <w:rPr>
          <w:rFonts w:asciiTheme="majorHAnsi" w:hAnsiTheme="majorHAnsi"/>
        </w:rPr>
        <w:t xml:space="preserve">S </w:t>
      </w:r>
      <w:r w:rsidR="00155DC6" w:rsidRPr="001C4D71">
        <w:rPr>
          <w:rFonts w:asciiTheme="majorHAnsi" w:hAnsiTheme="majorHAnsi"/>
        </w:rPr>
        <w:t xml:space="preserve">ohledem na stárnoucí populaci je třeba si </w:t>
      </w:r>
      <w:r>
        <w:rPr>
          <w:rFonts w:asciiTheme="majorHAnsi" w:hAnsiTheme="majorHAnsi"/>
        </w:rPr>
        <w:t xml:space="preserve">dále </w:t>
      </w:r>
      <w:r w:rsidR="00155DC6" w:rsidRPr="001C4D71">
        <w:rPr>
          <w:rFonts w:asciiTheme="majorHAnsi" w:hAnsiTheme="majorHAnsi"/>
        </w:rPr>
        <w:t>uvědomit, že současný demografický vývoj vytváří základní podmínky pro rozvoj zdrojů pracovních sil v budoucnosti. Nepříznivý populační vývoj t</w:t>
      </w:r>
      <w:r w:rsidR="00101AD1">
        <w:rPr>
          <w:rFonts w:asciiTheme="majorHAnsi" w:hAnsiTheme="majorHAnsi"/>
        </w:rPr>
        <w:t>otiž</w:t>
      </w:r>
      <w:r w:rsidR="00155DC6" w:rsidRPr="001C4D71">
        <w:rPr>
          <w:rFonts w:asciiTheme="majorHAnsi" w:hAnsiTheme="majorHAnsi"/>
        </w:rPr>
        <w:t xml:space="preserve"> zakládá negativní dlouhodobou tendenci potenciálu pracovních sil. </w:t>
      </w:r>
    </w:p>
    <w:p w:rsidR="00155DC6" w:rsidRDefault="00155DC6" w:rsidP="00155DC6">
      <w:pPr>
        <w:rPr>
          <w:rFonts w:asciiTheme="majorHAnsi" w:hAnsiTheme="majorHAnsi"/>
        </w:rPr>
      </w:pPr>
      <w:r w:rsidRPr="001C4D71">
        <w:rPr>
          <w:rFonts w:asciiTheme="majorHAnsi" w:hAnsiTheme="majorHAnsi"/>
        </w:rPr>
        <w:t>Je zapotřebí tuto skutečnost reflektovat a podnikat</w:t>
      </w:r>
      <w:r w:rsidR="00101AD1">
        <w:rPr>
          <w:rFonts w:asciiTheme="majorHAnsi" w:hAnsiTheme="majorHAnsi"/>
        </w:rPr>
        <w:t xml:space="preserve"> takové</w:t>
      </w:r>
      <w:r w:rsidRPr="001C4D71">
        <w:rPr>
          <w:rFonts w:asciiTheme="majorHAnsi" w:hAnsiTheme="majorHAnsi"/>
        </w:rPr>
        <w:t xml:space="preserve"> kroky, které budou ve městě </w:t>
      </w:r>
      <w:r w:rsidR="00605156">
        <w:rPr>
          <w:rFonts w:asciiTheme="majorHAnsi" w:hAnsiTheme="majorHAnsi"/>
        </w:rPr>
        <w:t>Ostrov</w:t>
      </w:r>
      <w:r w:rsidRPr="001C4D71">
        <w:rPr>
          <w:rFonts w:asciiTheme="majorHAnsi" w:hAnsiTheme="majorHAnsi"/>
        </w:rPr>
        <w:t>, ale i zb</w:t>
      </w:r>
      <w:r w:rsidR="00E04382">
        <w:rPr>
          <w:rFonts w:asciiTheme="majorHAnsi" w:hAnsiTheme="majorHAnsi"/>
        </w:rPr>
        <w:t>ývající</w:t>
      </w:r>
      <w:r w:rsidRPr="001C4D71">
        <w:rPr>
          <w:rFonts w:asciiTheme="majorHAnsi" w:hAnsiTheme="majorHAnsi"/>
        </w:rPr>
        <w:t xml:space="preserve"> části SO ORP</w:t>
      </w:r>
      <w:r w:rsidR="008411F2">
        <w:rPr>
          <w:rFonts w:asciiTheme="majorHAnsi" w:hAnsiTheme="majorHAnsi"/>
        </w:rPr>
        <w:t>,</w:t>
      </w:r>
      <w:r w:rsidRPr="001C4D71">
        <w:rPr>
          <w:rFonts w:asciiTheme="majorHAnsi" w:hAnsiTheme="majorHAnsi"/>
        </w:rPr>
        <w:t xml:space="preserve"> podporovat </w:t>
      </w:r>
      <w:r w:rsidR="00101AD1">
        <w:rPr>
          <w:rFonts w:asciiTheme="majorHAnsi" w:hAnsiTheme="majorHAnsi"/>
        </w:rPr>
        <w:t>vznik pracovních příležitostí</w:t>
      </w:r>
      <w:r w:rsidR="0066705F">
        <w:rPr>
          <w:rFonts w:asciiTheme="majorHAnsi" w:hAnsiTheme="majorHAnsi"/>
        </w:rPr>
        <w:t xml:space="preserve"> a vlastního bydlení</w:t>
      </w:r>
      <w:r w:rsidR="00101AD1">
        <w:rPr>
          <w:rFonts w:asciiTheme="majorHAnsi" w:hAnsiTheme="majorHAnsi"/>
        </w:rPr>
        <w:t xml:space="preserve">, resp. vytváření takových </w:t>
      </w:r>
      <w:r w:rsidRPr="001C4D71">
        <w:rPr>
          <w:rFonts w:asciiTheme="majorHAnsi" w:hAnsiTheme="majorHAnsi"/>
        </w:rPr>
        <w:t>pracovní</w:t>
      </w:r>
      <w:r w:rsidR="00101AD1">
        <w:rPr>
          <w:rFonts w:asciiTheme="majorHAnsi" w:hAnsiTheme="majorHAnsi"/>
        </w:rPr>
        <w:t>ch</w:t>
      </w:r>
      <w:r w:rsidRPr="001C4D71">
        <w:rPr>
          <w:rFonts w:asciiTheme="majorHAnsi" w:hAnsiTheme="majorHAnsi"/>
        </w:rPr>
        <w:t xml:space="preserve"> podmín</w:t>
      </w:r>
      <w:r w:rsidR="00101AD1">
        <w:rPr>
          <w:rFonts w:asciiTheme="majorHAnsi" w:hAnsiTheme="majorHAnsi"/>
        </w:rPr>
        <w:t>ek,</w:t>
      </w:r>
      <w:r w:rsidRPr="001C4D71">
        <w:rPr>
          <w:rFonts w:asciiTheme="majorHAnsi" w:hAnsiTheme="majorHAnsi"/>
        </w:rPr>
        <w:t xml:space="preserve"> </w:t>
      </w:r>
      <w:r w:rsidR="00101AD1">
        <w:rPr>
          <w:rFonts w:asciiTheme="majorHAnsi" w:hAnsiTheme="majorHAnsi"/>
        </w:rPr>
        <w:t xml:space="preserve">které </w:t>
      </w:r>
      <w:r w:rsidRPr="001C4D71">
        <w:rPr>
          <w:rFonts w:asciiTheme="majorHAnsi" w:hAnsiTheme="majorHAnsi"/>
        </w:rPr>
        <w:t>budou mladé lidi a absolventy škol</w:t>
      </w:r>
      <w:r w:rsidR="00101AD1">
        <w:rPr>
          <w:rFonts w:asciiTheme="majorHAnsi" w:hAnsiTheme="majorHAnsi"/>
        </w:rPr>
        <w:t xml:space="preserve"> </w:t>
      </w:r>
      <w:r w:rsidR="00101AD1" w:rsidRPr="001C4D71">
        <w:rPr>
          <w:rFonts w:asciiTheme="majorHAnsi" w:hAnsiTheme="majorHAnsi"/>
        </w:rPr>
        <w:t>přitahovat</w:t>
      </w:r>
      <w:r w:rsidR="00101AD1">
        <w:rPr>
          <w:rFonts w:asciiTheme="majorHAnsi" w:hAnsiTheme="majorHAnsi"/>
        </w:rPr>
        <w:t>, stabilizova</w:t>
      </w:r>
      <w:r w:rsidR="00E04382">
        <w:rPr>
          <w:rFonts w:asciiTheme="majorHAnsi" w:hAnsiTheme="majorHAnsi"/>
        </w:rPr>
        <w:t>t</w:t>
      </w:r>
      <w:r w:rsidR="00101AD1">
        <w:rPr>
          <w:rFonts w:asciiTheme="majorHAnsi" w:hAnsiTheme="majorHAnsi"/>
        </w:rPr>
        <w:t xml:space="preserve"> a navracet po dosažení vzdělání zpět do regionu</w:t>
      </w:r>
      <w:r w:rsidRPr="001C4D71">
        <w:rPr>
          <w:rFonts w:asciiTheme="majorHAnsi" w:hAnsiTheme="majorHAnsi"/>
        </w:rPr>
        <w:t>.</w:t>
      </w:r>
      <w:r w:rsidR="009025B9">
        <w:rPr>
          <w:rFonts w:asciiTheme="majorHAnsi" w:hAnsiTheme="majorHAnsi"/>
        </w:rPr>
        <w:t xml:space="preserve"> </w:t>
      </w:r>
    </w:p>
    <w:p w:rsidR="00611FF0" w:rsidRDefault="00611FF0" w:rsidP="00155DC6">
      <w:pPr>
        <w:rPr>
          <w:rFonts w:asciiTheme="majorHAnsi" w:hAnsiTheme="majorHAnsi"/>
        </w:rPr>
      </w:pPr>
      <w:r>
        <w:rPr>
          <w:rFonts w:asciiTheme="majorHAnsi" w:hAnsiTheme="majorHAnsi"/>
        </w:rPr>
        <w:t>Negativní trend dále posiluje gravitační  vliv krajského města, který je zřejmý i z daších ukazatelů (např. dojíždění za prací).</w:t>
      </w:r>
    </w:p>
    <w:p w:rsidR="000E2A86" w:rsidRDefault="000E2A86">
      <w:pPr>
        <w:spacing w:before="0" w:after="0" w:line="240" w:lineRule="auto"/>
        <w:jc w:val="left"/>
        <w:rPr>
          <w:rFonts w:asciiTheme="majorHAnsi" w:hAnsiTheme="majorHAnsi"/>
          <w:color w:val="282156"/>
          <w:spacing w:val="10"/>
          <w:szCs w:val="22"/>
        </w:rPr>
      </w:pPr>
      <w:r>
        <w:rPr>
          <w:rFonts w:asciiTheme="majorHAnsi" w:hAnsiTheme="majorHAnsi"/>
        </w:rPr>
        <w:br w:type="page"/>
      </w:r>
    </w:p>
    <w:p w:rsidR="00155DC6" w:rsidRDefault="00155DC6" w:rsidP="00155DC6">
      <w:pPr>
        <w:pStyle w:val="Nadpis6"/>
        <w:rPr>
          <w:rFonts w:asciiTheme="majorHAnsi" w:hAnsiTheme="majorHAnsi"/>
        </w:rPr>
      </w:pPr>
      <w:r w:rsidRPr="004A3E24">
        <w:rPr>
          <w:rFonts w:asciiTheme="majorHAnsi" w:hAnsiTheme="majorHAnsi"/>
        </w:rPr>
        <w:lastRenderedPageBreak/>
        <w:t>Vzdělání</w:t>
      </w:r>
      <w:r w:rsidR="00AA3E68">
        <w:rPr>
          <w:rFonts w:asciiTheme="majorHAnsi" w:hAnsiTheme="majorHAnsi"/>
        </w:rPr>
        <w:t xml:space="preserve"> obyvatelstva</w:t>
      </w:r>
    </w:p>
    <w:p w:rsidR="00AA3E68" w:rsidRDefault="00AA3E68" w:rsidP="00AA3E68">
      <w:pPr>
        <w:rPr>
          <w:rFonts w:asciiTheme="majorHAnsi" w:hAnsiTheme="majorHAnsi"/>
        </w:rPr>
      </w:pPr>
      <w:r w:rsidRPr="00AA3E68">
        <w:rPr>
          <w:rFonts w:asciiTheme="majorHAnsi" w:hAnsiTheme="majorHAnsi"/>
        </w:rPr>
        <w:t xml:space="preserve">Podíl středoškolsky a vysokoškolsky vzdělaných obyvatel činí v Ostrově cca </w:t>
      </w:r>
      <w:r>
        <w:rPr>
          <w:rFonts w:asciiTheme="majorHAnsi" w:hAnsiTheme="majorHAnsi"/>
        </w:rPr>
        <w:t>39</w:t>
      </w:r>
      <w:r w:rsidRPr="00AA3E68">
        <w:rPr>
          <w:rFonts w:asciiTheme="majorHAnsi" w:hAnsiTheme="majorHAnsi"/>
        </w:rPr>
        <w:t xml:space="preserve"> %, což je hodnota korespondující s ostatními městy podobného významu. </w:t>
      </w:r>
      <w:r>
        <w:rPr>
          <w:rFonts w:asciiTheme="majorHAnsi" w:hAnsiTheme="majorHAnsi"/>
        </w:rPr>
        <w:t>Vzdělanostní</w:t>
      </w:r>
      <w:r w:rsidRPr="00AA3E68">
        <w:rPr>
          <w:rFonts w:asciiTheme="majorHAnsi" w:hAnsiTheme="majorHAnsi"/>
        </w:rPr>
        <w:t xml:space="preserve"> situace v městě Ostrov v tomto smyslu </w:t>
      </w:r>
      <w:r>
        <w:rPr>
          <w:rFonts w:asciiTheme="majorHAnsi" w:hAnsiTheme="majorHAnsi"/>
        </w:rPr>
        <w:t xml:space="preserve">tedy </w:t>
      </w:r>
      <w:r w:rsidRPr="00AA3E68">
        <w:rPr>
          <w:rFonts w:asciiTheme="majorHAnsi" w:hAnsiTheme="majorHAnsi"/>
        </w:rPr>
        <w:t>nezaostává za porovnatelnými městy v regionu. Ba naopak. Odhlédneme-li od Loun a Žatce, které se nacházejí spíš ve vnitrozemí, tak Ostrov spolu se Sokolovem patří k nejvzdělanějším středně velkým městům regionu.</w:t>
      </w:r>
    </w:p>
    <w:p w:rsidR="00757F43" w:rsidRDefault="00757F43" w:rsidP="00757F43">
      <w:pPr>
        <w:spacing w:before="0" w:after="120"/>
        <w:rPr>
          <w:rFonts w:asciiTheme="majorHAnsi" w:hAnsiTheme="majorHAnsi"/>
        </w:rPr>
      </w:pPr>
      <w:bookmarkStart w:id="59" w:name="_Toc516059014"/>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5</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757F43">
        <w:rPr>
          <w:rFonts w:asciiTheme="minorHAnsi" w:hAnsiTheme="minorHAnsi" w:cs="Arial-ItalicMT"/>
          <w:iCs/>
          <w:sz w:val="18"/>
          <w:szCs w:val="18"/>
        </w:rPr>
        <w:t>SLDB 2011 Obyvatelstvo ve věku 15 a více let podle vzdělání</w:t>
      </w:r>
      <w:r w:rsidR="00611FF0">
        <w:rPr>
          <w:rFonts w:asciiTheme="minorHAnsi" w:hAnsiTheme="minorHAnsi" w:cs="Arial-ItalicMT"/>
          <w:iCs/>
          <w:sz w:val="18"/>
          <w:szCs w:val="18"/>
        </w:rPr>
        <w:t xml:space="preserve"> </w:t>
      </w:r>
      <w:r w:rsidR="00AA3E68">
        <w:rPr>
          <w:rFonts w:asciiTheme="minorHAnsi" w:hAnsiTheme="minorHAnsi" w:cs="Arial-ItalicMT"/>
          <w:iCs/>
          <w:sz w:val="18"/>
          <w:szCs w:val="18"/>
        </w:rPr>
        <w:t>a index vzdělanosti</w:t>
      </w:r>
      <w:bookmarkEnd w:id="59"/>
    </w:p>
    <w:tbl>
      <w:tblPr>
        <w:tblStyle w:val="Mkatabulky"/>
        <w:tblW w:w="9322" w:type="dxa"/>
        <w:tblLook w:val="04A0" w:firstRow="1" w:lastRow="0" w:firstColumn="1" w:lastColumn="0" w:noHBand="0" w:noVBand="1"/>
      </w:tblPr>
      <w:tblGrid>
        <w:gridCol w:w="2083"/>
        <w:gridCol w:w="1475"/>
        <w:gridCol w:w="1438"/>
        <w:gridCol w:w="1441"/>
        <w:gridCol w:w="1444"/>
        <w:gridCol w:w="1441"/>
      </w:tblGrid>
      <w:tr w:rsidR="009630B5" w:rsidTr="00963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Pr>
          <w:p w:rsidR="009630B5" w:rsidRPr="009630B5" w:rsidRDefault="009630B5" w:rsidP="008D35AC">
            <w:pPr>
              <w:spacing w:before="0" w:after="0" w:line="240" w:lineRule="auto"/>
              <w:jc w:val="center"/>
              <w:rPr>
                <w:rFonts w:asciiTheme="minorHAnsi" w:hAnsiTheme="minorHAnsi"/>
                <w:b/>
                <w:sz w:val="18"/>
                <w:szCs w:val="18"/>
              </w:rPr>
            </w:pPr>
            <w:r w:rsidRPr="009630B5">
              <w:rPr>
                <w:rFonts w:asciiTheme="minorHAnsi" w:hAnsiTheme="minorHAnsi"/>
                <w:b/>
                <w:sz w:val="18"/>
                <w:szCs w:val="18"/>
              </w:rPr>
              <w:t>vzdělání</w:t>
            </w:r>
          </w:p>
        </w:tc>
        <w:tc>
          <w:tcPr>
            <w:tcW w:w="1475" w:type="dxa"/>
            <w:vAlign w:val="bottom"/>
          </w:tcPr>
          <w:p w:rsidR="009630B5" w:rsidRPr="009630B5" w:rsidRDefault="009630B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color w:val="FFFFFF" w:themeColor="background1"/>
                <w:sz w:val="18"/>
                <w:szCs w:val="18"/>
              </w:rPr>
            </w:pPr>
            <w:r w:rsidRPr="009630B5">
              <w:rPr>
                <w:rFonts w:asciiTheme="minorHAnsi" w:hAnsiTheme="minorHAnsi" w:cs="Arial"/>
                <w:b/>
                <w:color w:val="FFFFFF" w:themeColor="background1"/>
                <w:sz w:val="18"/>
                <w:szCs w:val="18"/>
              </w:rPr>
              <w:t>základní vč. nedokončeného a bez vzdělání</w:t>
            </w:r>
          </w:p>
        </w:tc>
        <w:tc>
          <w:tcPr>
            <w:tcW w:w="1438" w:type="dxa"/>
          </w:tcPr>
          <w:p w:rsidR="009630B5" w:rsidRPr="009630B5" w:rsidRDefault="009630B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color w:val="FFFFFF" w:themeColor="background1"/>
                <w:sz w:val="18"/>
                <w:szCs w:val="18"/>
              </w:rPr>
            </w:pPr>
            <w:r w:rsidRPr="009630B5">
              <w:rPr>
                <w:rFonts w:asciiTheme="minorHAnsi" w:hAnsiTheme="minorHAnsi" w:cs="Arial"/>
                <w:b/>
                <w:color w:val="FFFFFF" w:themeColor="background1"/>
                <w:sz w:val="18"/>
                <w:szCs w:val="18"/>
              </w:rPr>
              <w:t>střední bez maturity</w:t>
            </w:r>
          </w:p>
        </w:tc>
        <w:tc>
          <w:tcPr>
            <w:tcW w:w="1441" w:type="dxa"/>
            <w:vAlign w:val="bottom"/>
          </w:tcPr>
          <w:p w:rsidR="009630B5" w:rsidRPr="009630B5" w:rsidRDefault="009630B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color w:val="FFFFFF" w:themeColor="background1"/>
                <w:sz w:val="18"/>
                <w:szCs w:val="18"/>
              </w:rPr>
            </w:pPr>
            <w:r w:rsidRPr="009630B5">
              <w:rPr>
                <w:rFonts w:asciiTheme="minorHAnsi" w:hAnsiTheme="minorHAnsi" w:cs="Arial"/>
                <w:b/>
                <w:color w:val="FFFFFF" w:themeColor="background1"/>
                <w:sz w:val="18"/>
                <w:szCs w:val="18"/>
              </w:rPr>
              <w:t>střední,                      nástavbové a vyšší odborné</w:t>
            </w:r>
          </w:p>
        </w:tc>
        <w:tc>
          <w:tcPr>
            <w:tcW w:w="1444" w:type="dxa"/>
          </w:tcPr>
          <w:p w:rsidR="009630B5" w:rsidRPr="009630B5" w:rsidRDefault="009630B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color w:val="FFFFFF" w:themeColor="background1"/>
                <w:sz w:val="18"/>
                <w:szCs w:val="18"/>
              </w:rPr>
            </w:pPr>
            <w:r w:rsidRPr="009630B5">
              <w:rPr>
                <w:rFonts w:asciiTheme="minorHAnsi" w:hAnsiTheme="minorHAnsi" w:cs="Arial"/>
                <w:b/>
                <w:color w:val="FFFFFF" w:themeColor="background1"/>
                <w:sz w:val="18"/>
                <w:szCs w:val="18"/>
              </w:rPr>
              <w:t>vysokoškolské</w:t>
            </w:r>
          </w:p>
        </w:tc>
        <w:tc>
          <w:tcPr>
            <w:tcW w:w="1441" w:type="dxa"/>
          </w:tcPr>
          <w:p w:rsidR="009630B5" w:rsidRPr="009630B5" w:rsidRDefault="009630B5" w:rsidP="009630B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color w:val="FFFFFF" w:themeColor="background1"/>
                <w:sz w:val="18"/>
                <w:szCs w:val="18"/>
              </w:rPr>
            </w:pPr>
            <w:r w:rsidRPr="009630B5">
              <w:rPr>
                <w:rFonts w:asciiTheme="minorHAnsi" w:hAnsiTheme="minorHAnsi" w:cs="Arial"/>
                <w:b/>
                <w:color w:val="FFFFFF" w:themeColor="background1"/>
                <w:sz w:val="18"/>
                <w:szCs w:val="18"/>
              </w:rPr>
              <w:t>index vzdělanosti</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Aš</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27,9%</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38,3%</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28,6%</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5,3%</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0,35</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Krupka</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26,3%</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39,8%</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27,7%</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6,2%</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0,37</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Chodov</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27,9%</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40,7%</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27,0%</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4,4%</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0,34</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Klášterec nad Ohří</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27,7%</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39,4%</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27,7%</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5,2%</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0,36</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Bílina</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29,8%</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40,6%</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24,8%</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4,8%</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0,31</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shd w:val="clear" w:color="auto" w:fill="D9D9D9" w:themeFill="background1" w:themeFillShade="D9"/>
            <w:vAlign w:val="bottom"/>
          </w:tcPr>
          <w:p w:rsidR="009630B5" w:rsidRPr="009630B5" w:rsidRDefault="009630B5" w:rsidP="009630B5">
            <w:pPr>
              <w:spacing w:before="0" w:after="0" w:line="240" w:lineRule="auto"/>
              <w:rPr>
                <w:rFonts w:asciiTheme="minorHAnsi" w:hAnsiTheme="minorHAnsi" w:cs="Arial"/>
                <w:b/>
                <w:bCs/>
                <w:color w:val="000000"/>
                <w:sz w:val="16"/>
                <w:szCs w:val="16"/>
              </w:rPr>
            </w:pPr>
            <w:r w:rsidRPr="009630B5">
              <w:rPr>
                <w:rFonts w:asciiTheme="minorHAnsi" w:hAnsiTheme="minorHAnsi" w:cs="Arial"/>
                <w:b/>
                <w:bCs/>
                <w:color w:val="000000"/>
                <w:sz w:val="16"/>
                <w:szCs w:val="16"/>
              </w:rPr>
              <w:t>Ostrov</w:t>
            </w:r>
          </w:p>
        </w:tc>
        <w:tc>
          <w:tcPr>
            <w:tcW w:w="1475" w:type="dxa"/>
            <w:shd w:val="clear" w:color="auto" w:fill="D9D9D9" w:themeFill="background1" w:themeFillShade="D9"/>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color w:val="000000"/>
                <w:sz w:val="16"/>
                <w:szCs w:val="16"/>
              </w:rPr>
            </w:pPr>
            <w:r w:rsidRPr="009630B5">
              <w:rPr>
                <w:rFonts w:asciiTheme="minorHAnsi" w:hAnsiTheme="minorHAnsi" w:cs="Arial"/>
                <w:b/>
                <w:bCs/>
                <w:color w:val="000000"/>
                <w:sz w:val="16"/>
                <w:szCs w:val="16"/>
              </w:rPr>
              <w:t>24,4%</w:t>
            </w:r>
          </w:p>
        </w:tc>
        <w:tc>
          <w:tcPr>
            <w:tcW w:w="1438" w:type="dxa"/>
            <w:shd w:val="clear" w:color="auto" w:fill="D9D9D9" w:themeFill="background1" w:themeFillShade="D9"/>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color w:val="000000"/>
                <w:sz w:val="16"/>
                <w:szCs w:val="16"/>
              </w:rPr>
            </w:pPr>
            <w:r w:rsidRPr="009630B5">
              <w:rPr>
                <w:rFonts w:asciiTheme="minorHAnsi" w:hAnsiTheme="minorHAnsi" w:cs="Arial"/>
                <w:b/>
                <w:bCs/>
                <w:color w:val="000000"/>
                <w:sz w:val="16"/>
                <w:szCs w:val="16"/>
              </w:rPr>
              <w:t>36,8%</w:t>
            </w:r>
          </w:p>
        </w:tc>
        <w:tc>
          <w:tcPr>
            <w:tcW w:w="1441" w:type="dxa"/>
            <w:shd w:val="clear" w:color="auto" w:fill="D9D9D9" w:themeFill="background1" w:themeFillShade="D9"/>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color w:val="000000"/>
                <w:sz w:val="16"/>
                <w:szCs w:val="16"/>
              </w:rPr>
            </w:pPr>
            <w:r w:rsidRPr="009630B5">
              <w:rPr>
                <w:rFonts w:asciiTheme="minorHAnsi" w:hAnsiTheme="minorHAnsi" w:cs="Arial"/>
                <w:b/>
                <w:bCs/>
                <w:color w:val="000000"/>
                <w:sz w:val="16"/>
                <w:szCs w:val="16"/>
              </w:rPr>
              <w:t>31,3%</w:t>
            </w:r>
          </w:p>
        </w:tc>
        <w:tc>
          <w:tcPr>
            <w:tcW w:w="1444" w:type="dxa"/>
            <w:shd w:val="clear" w:color="auto" w:fill="D9D9D9" w:themeFill="background1" w:themeFillShade="D9"/>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color w:val="000000"/>
                <w:sz w:val="16"/>
                <w:szCs w:val="16"/>
              </w:rPr>
            </w:pPr>
            <w:r w:rsidRPr="009630B5">
              <w:rPr>
                <w:rFonts w:asciiTheme="minorHAnsi" w:hAnsiTheme="minorHAnsi" w:cs="Arial"/>
                <w:b/>
                <w:bCs/>
                <w:color w:val="000000"/>
                <w:sz w:val="16"/>
                <w:szCs w:val="16"/>
              </w:rPr>
              <w:t>7,5%</w:t>
            </w:r>
          </w:p>
        </w:tc>
        <w:tc>
          <w:tcPr>
            <w:tcW w:w="1441" w:type="dxa"/>
            <w:shd w:val="clear" w:color="auto" w:fill="D9D9D9" w:themeFill="background1" w:themeFillShade="D9"/>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color w:val="000000"/>
                <w:sz w:val="16"/>
                <w:szCs w:val="16"/>
              </w:rPr>
            </w:pPr>
            <w:r w:rsidRPr="009630B5">
              <w:rPr>
                <w:rFonts w:asciiTheme="minorHAnsi" w:hAnsiTheme="minorHAnsi" w:cs="Arial"/>
                <w:b/>
                <w:bCs/>
                <w:color w:val="000000"/>
                <w:sz w:val="16"/>
                <w:szCs w:val="16"/>
              </w:rPr>
              <w:t>0,43</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Kadaň</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24,8%</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37,8%</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30,4%</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7,0%</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0,41</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Louny</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19,3%</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32,4%</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36,3%</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11,9%</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0,57</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Žatec</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22,4%</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34,0%</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33,3%</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10,3%</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0,51</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Jirkov</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27,7%</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39,0%</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27,7%</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5,6%</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0,36</w:t>
            </w:r>
          </w:p>
        </w:tc>
      </w:tr>
      <w:tr w:rsidR="009630B5" w:rsidRPr="00C4366F" w:rsidTr="009630B5">
        <w:tc>
          <w:tcPr>
            <w:cnfStyle w:val="001000000000" w:firstRow="0" w:lastRow="0" w:firstColumn="1" w:lastColumn="0" w:oddVBand="0" w:evenVBand="0" w:oddHBand="0" w:evenHBand="0" w:firstRowFirstColumn="0" w:firstRowLastColumn="0" w:lastRowFirstColumn="0" w:lastRowLastColumn="0"/>
            <w:tcW w:w="2083" w:type="dxa"/>
            <w:vAlign w:val="bottom"/>
          </w:tcPr>
          <w:p w:rsidR="009630B5" w:rsidRPr="009630B5" w:rsidRDefault="009630B5" w:rsidP="009630B5">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Sokolov</w:t>
            </w:r>
          </w:p>
        </w:tc>
        <w:tc>
          <w:tcPr>
            <w:tcW w:w="1475"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23,4%</w:t>
            </w:r>
          </w:p>
        </w:tc>
        <w:tc>
          <w:tcPr>
            <w:tcW w:w="1438"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36,4%</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32,3%</w:t>
            </w:r>
          </w:p>
        </w:tc>
        <w:tc>
          <w:tcPr>
            <w:tcW w:w="1444"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7,9%</w:t>
            </w:r>
          </w:p>
        </w:tc>
        <w:tc>
          <w:tcPr>
            <w:tcW w:w="1441" w:type="dxa"/>
            <w:vAlign w:val="bottom"/>
          </w:tcPr>
          <w:p w:rsidR="009630B5" w:rsidRPr="009630B5" w:rsidRDefault="009630B5" w:rsidP="009630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16"/>
                <w:szCs w:val="16"/>
              </w:rPr>
            </w:pPr>
            <w:r w:rsidRPr="009630B5">
              <w:rPr>
                <w:rFonts w:asciiTheme="minorHAnsi" w:hAnsiTheme="minorHAnsi" w:cs="Arial"/>
                <w:color w:val="000000"/>
                <w:sz w:val="16"/>
                <w:szCs w:val="16"/>
              </w:rPr>
              <w:t>0,45</w:t>
            </w:r>
          </w:p>
        </w:tc>
      </w:tr>
    </w:tbl>
    <w:p w:rsidR="008D35AC" w:rsidRPr="008336AF" w:rsidRDefault="008D35AC" w:rsidP="008D35AC">
      <w:pPr>
        <w:spacing w:before="0"/>
        <w:rPr>
          <w:sz w:val="16"/>
          <w:szCs w:val="16"/>
        </w:rPr>
      </w:pPr>
      <w:r w:rsidRPr="008336AF">
        <w:rPr>
          <w:sz w:val="16"/>
          <w:szCs w:val="16"/>
        </w:rPr>
        <w:t xml:space="preserve">Zdroj: </w:t>
      </w:r>
      <w:r w:rsidR="009630B5">
        <w:rPr>
          <w:sz w:val="16"/>
          <w:szCs w:val="16"/>
        </w:rPr>
        <w:t>SLDB 2011</w:t>
      </w:r>
    </w:p>
    <w:p w:rsidR="00AA3E68" w:rsidRDefault="0085512A" w:rsidP="00155DC6">
      <w:pPr>
        <w:rPr>
          <w:rFonts w:asciiTheme="majorHAnsi" w:hAnsiTheme="majorHAnsi"/>
        </w:rPr>
      </w:pPr>
      <w:r>
        <w:rPr>
          <w:rFonts w:asciiTheme="majorHAnsi" w:hAnsiTheme="majorHAnsi"/>
        </w:rPr>
        <w:t xml:space="preserve">Index vzdělanosti je syntetický ukazatel hodnotící vzdělanost společnosti. </w:t>
      </w:r>
      <w:r w:rsidR="00EC7684">
        <w:rPr>
          <w:rFonts w:asciiTheme="majorHAnsi" w:hAnsiTheme="majorHAnsi"/>
        </w:rPr>
        <w:t>Pozitivní je maximum. Je to s</w:t>
      </w:r>
      <w:r w:rsidRPr="0085512A">
        <w:rPr>
          <w:rFonts w:asciiTheme="majorHAnsi" w:hAnsiTheme="majorHAnsi"/>
        </w:rPr>
        <w:t>oučet podílu obyvatel se středoškolským (s maturitou, nadstavbové a vyšší odborné studium) a dvojnásobku podílu s vysokoškolským vzděláním k celkovému počtu obyvatel starších 15 let (včetně nezjištěných).</w:t>
      </w:r>
      <w:r w:rsidR="00EC7684">
        <w:rPr>
          <w:rFonts w:asciiTheme="majorHAnsi" w:hAnsiTheme="majorHAnsi"/>
        </w:rPr>
        <w:t xml:space="preserve"> </w:t>
      </w:r>
    </w:p>
    <w:p w:rsidR="00611FF0" w:rsidRDefault="00AA3E68">
      <w:pPr>
        <w:spacing w:before="0" w:after="0" w:line="240" w:lineRule="auto"/>
        <w:jc w:val="left"/>
        <w:rPr>
          <w:sz w:val="24"/>
          <w:szCs w:val="24"/>
        </w:rPr>
      </w:pPr>
      <w:r>
        <w:rPr>
          <w:szCs w:val="24"/>
        </w:rPr>
        <w:t>Údaje v tabulce tak zcela nepotvrzují hypotézu, že v Ostrově dochází k výraznému „odlivu mozků“ v důsledku migrace. A pokud ano, tak je situace lepší, než v porovnatelných městech regionu.</w:t>
      </w:r>
      <w:r w:rsidR="00611FF0">
        <w:rPr>
          <w:szCs w:val="24"/>
        </w:rPr>
        <w:br w:type="page"/>
      </w:r>
    </w:p>
    <w:p w:rsidR="004312E6" w:rsidRPr="007B0DDF" w:rsidRDefault="004312E6" w:rsidP="004312E6">
      <w:pPr>
        <w:pStyle w:val="Nadpis4"/>
        <w:pBdr>
          <w:top w:val="none" w:sz="0" w:space="0" w:color="auto"/>
          <w:left w:val="none" w:sz="0" w:space="0" w:color="auto"/>
        </w:pBdr>
        <w:shd w:val="clear" w:color="auto" w:fill="372C74"/>
        <w:spacing w:before="0" w:after="200"/>
        <w:ind w:firstLine="0"/>
        <w:rPr>
          <w:color w:val="auto"/>
          <w:spacing w:val="4"/>
          <w:szCs w:val="24"/>
        </w:rPr>
      </w:pPr>
      <w:bookmarkStart w:id="60" w:name="_Toc516058312"/>
      <w:r w:rsidRPr="007B0DDF">
        <w:rPr>
          <w:color w:val="auto"/>
          <w:spacing w:val="4"/>
          <w:szCs w:val="24"/>
        </w:rPr>
        <w:lastRenderedPageBreak/>
        <w:t>II. Sociální situace</w:t>
      </w:r>
      <w:bookmarkEnd w:id="60"/>
      <w:r w:rsidRPr="007B0DDF">
        <w:rPr>
          <w:color w:val="auto"/>
          <w:spacing w:val="4"/>
          <w:szCs w:val="24"/>
        </w:rPr>
        <w:t xml:space="preserve"> </w:t>
      </w:r>
    </w:p>
    <w:p w:rsidR="00A80F39" w:rsidRPr="004A3E24" w:rsidRDefault="00A80F39" w:rsidP="00A80F39">
      <w:pPr>
        <w:pStyle w:val="Nadpis6"/>
        <w:rPr>
          <w:rFonts w:asciiTheme="majorHAnsi" w:hAnsiTheme="majorHAnsi"/>
        </w:rPr>
      </w:pPr>
      <w:r w:rsidRPr="004A3E24">
        <w:rPr>
          <w:rFonts w:asciiTheme="majorHAnsi" w:hAnsiTheme="majorHAnsi"/>
        </w:rPr>
        <w:t>Národnostní složení</w:t>
      </w:r>
    </w:p>
    <w:p w:rsidR="00A80F39" w:rsidRDefault="00A80F39" w:rsidP="00A80F39">
      <w:pPr>
        <w:rPr>
          <w:rFonts w:asciiTheme="majorHAnsi" w:hAnsiTheme="majorHAnsi"/>
        </w:rPr>
      </w:pPr>
      <w:r w:rsidRPr="00985719">
        <w:rPr>
          <w:rFonts w:asciiTheme="majorHAnsi" w:hAnsiTheme="majorHAnsi"/>
        </w:rPr>
        <w:t xml:space="preserve">Složení obyvatelstva podle národností </w:t>
      </w:r>
      <w:r w:rsidR="007B44F9">
        <w:rPr>
          <w:rFonts w:asciiTheme="majorHAnsi" w:hAnsiTheme="majorHAnsi"/>
        </w:rPr>
        <w:t xml:space="preserve">v SO ORP </w:t>
      </w:r>
      <w:r w:rsidR="003D5E52">
        <w:rPr>
          <w:rFonts w:asciiTheme="majorHAnsi" w:hAnsiTheme="majorHAnsi"/>
        </w:rPr>
        <w:t>Ostrov</w:t>
      </w:r>
      <w:r w:rsidR="007B44F9">
        <w:rPr>
          <w:rFonts w:asciiTheme="majorHAnsi" w:hAnsiTheme="majorHAnsi"/>
        </w:rPr>
        <w:t xml:space="preserve"> </w:t>
      </w:r>
      <w:r w:rsidRPr="00985719">
        <w:rPr>
          <w:rFonts w:asciiTheme="majorHAnsi" w:hAnsiTheme="majorHAnsi"/>
        </w:rPr>
        <w:t xml:space="preserve">se nikterak nevymyká obecnému složení </w:t>
      </w:r>
      <w:r w:rsidR="003D5E52">
        <w:rPr>
          <w:rFonts w:asciiTheme="majorHAnsi" w:hAnsiTheme="majorHAnsi"/>
        </w:rPr>
        <w:t>v Karlovarském kraji</w:t>
      </w:r>
      <w:r w:rsidRPr="00985719">
        <w:rPr>
          <w:rFonts w:asciiTheme="majorHAnsi" w:hAnsiTheme="majorHAnsi"/>
        </w:rPr>
        <w:t>. Největší podíl na obyvatelstvu má česká národnost. Konkrétní národnostní složení je uvedeno v následující tabulce.</w:t>
      </w:r>
    </w:p>
    <w:p w:rsidR="007B44F9" w:rsidRDefault="007B44F9" w:rsidP="007B44F9">
      <w:pPr>
        <w:spacing w:before="0" w:after="120"/>
        <w:rPr>
          <w:rFonts w:asciiTheme="minorHAnsi" w:hAnsiTheme="minorHAnsi" w:cs="Arial-ItalicMT"/>
          <w:iCs/>
          <w:sz w:val="18"/>
          <w:szCs w:val="18"/>
        </w:rPr>
      </w:pPr>
      <w:bookmarkStart w:id="61" w:name="_Toc516059015"/>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6</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757F43">
        <w:rPr>
          <w:rFonts w:asciiTheme="minorHAnsi" w:hAnsiTheme="minorHAnsi" w:cs="Arial-ItalicMT"/>
          <w:iCs/>
          <w:sz w:val="18"/>
          <w:szCs w:val="18"/>
        </w:rPr>
        <w:t>Obyvatelstvo podle národnosti</w:t>
      </w:r>
      <w:r w:rsidR="0084391E">
        <w:rPr>
          <w:rFonts w:asciiTheme="minorHAnsi" w:hAnsiTheme="minorHAnsi" w:cs="Arial-ItalicMT"/>
          <w:iCs/>
          <w:sz w:val="18"/>
          <w:szCs w:val="18"/>
        </w:rPr>
        <w:t xml:space="preserve"> </w:t>
      </w:r>
      <w:r w:rsidR="00AC4AAB">
        <w:rPr>
          <w:rFonts w:asciiTheme="minorHAnsi" w:hAnsiTheme="minorHAnsi" w:cs="Arial-ItalicMT"/>
          <w:iCs/>
          <w:sz w:val="18"/>
          <w:szCs w:val="18"/>
        </w:rPr>
        <w:t>v</w:t>
      </w:r>
      <w:r w:rsidR="00A80F9C">
        <w:rPr>
          <w:rFonts w:asciiTheme="minorHAnsi" w:hAnsiTheme="minorHAnsi" w:cs="Arial-ItalicMT"/>
          <w:iCs/>
          <w:sz w:val="18"/>
          <w:szCs w:val="18"/>
        </w:rPr>
        <w:t> SO ORP Karlovarského kraje</w:t>
      </w:r>
      <w:bookmarkEnd w:id="61"/>
    </w:p>
    <w:tbl>
      <w:tblPr>
        <w:tblW w:w="5000" w:type="pct"/>
        <w:tblBorders>
          <w:bottom w:val="single" w:sz="4" w:space="0" w:color="BFBFBF" w:themeColor="background1" w:themeShade="BF"/>
          <w:insideH w:val="single" w:sz="4" w:space="0" w:color="BFBFBF" w:themeColor="background1" w:themeShade="BF"/>
        </w:tblBorders>
        <w:tblLayout w:type="fixed"/>
        <w:tblLook w:val="04A0" w:firstRow="1" w:lastRow="0" w:firstColumn="1" w:lastColumn="0" w:noHBand="0" w:noVBand="1"/>
      </w:tblPr>
      <w:tblGrid>
        <w:gridCol w:w="1523"/>
        <w:gridCol w:w="849"/>
        <w:gridCol w:w="794"/>
        <w:gridCol w:w="795"/>
        <w:gridCol w:w="795"/>
        <w:gridCol w:w="795"/>
        <w:gridCol w:w="795"/>
        <w:gridCol w:w="795"/>
        <w:gridCol w:w="795"/>
        <w:gridCol w:w="795"/>
        <w:gridCol w:w="797"/>
      </w:tblGrid>
      <w:tr w:rsidR="00543B3D" w:rsidRPr="00985719" w:rsidTr="00BE0EB4">
        <w:trPr>
          <w:trHeight w:val="260"/>
        </w:trPr>
        <w:tc>
          <w:tcPr>
            <w:tcW w:w="800" w:type="pct"/>
            <w:vMerge w:val="restart"/>
            <w:tcBorders>
              <w:top w:val="nil"/>
              <w:right w:val="single" w:sz="4" w:space="0" w:color="BFBFBF" w:themeColor="background1" w:themeShade="BF"/>
            </w:tcBorders>
            <w:shd w:val="clear" w:color="auto" w:fill="372C74"/>
            <w:vAlign w:val="center"/>
            <w:hideMark/>
          </w:tcPr>
          <w:p w:rsidR="00543B3D" w:rsidRPr="00985719" w:rsidRDefault="00BE0EB4" w:rsidP="00283AF8">
            <w:pPr>
              <w:spacing w:before="0" w:after="0" w:line="240" w:lineRule="auto"/>
              <w:jc w:val="center"/>
              <w:rPr>
                <w:rFonts w:asciiTheme="majorHAnsi" w:eastAsia="Times New Roman" w:hAnsiTheme="majorHAnsi"/>
                <w:spacing w:val="0"/>
                <w:sz w:val="16"/>
                <w:szCs w:val="16"/>
                <w:lang w:bidi="ar-SA"/>
              </w:rPr>
            </w:pPr>
            <w:r>
              <w:rPr>
                <w:rFonts w:asciiTheme="majorHAnsi" w:eastAsia="Times New Roman" w:hAnsiTheme="majorHAnsi"/>
                <w:spacing w:val="0"/>
                <w:sz w:val="16"/>
                <w:szCs w:val="16"/>
                <w:lang w:bidi="ar-SA"/>
              </w:rPr>
              <w:t>SO ORP</w:t>
            </w:r>
          </w:p>
        </w:tc>
        <w:tc>
          <w:tcPr>
            <w:tcW w:w="446" w:type="pct"/>
            <w:vMerge w:val="restart"/>
            <w:tcBorders>
              <w:top w:val="nil"/>
              <w:left w:val="single" w:sz="4" w:space="0" w:color="BFBFBF" w:themeColor="background1" w:themeShade="BF"/>
              <w:right w:val="single" w:sz="4" w:space="0" w:color="BFBFBF" w:themeColor="background1" w:themeShade="BF"/>
            </w:tcBorders>
            <w:shd w:val="clear" w:color="auto" w:fill="372C74"/>
            <w:vAlign w:val="center"/>
            <w:hideMark/>
          </w:tcPr>
          <w:p w:rsidR="00543B3D" w:rsidRPr="00985719" w:rsidRDefault="00543B3D" w:rsidP="00BE0EB4">
            <w:pPr>
              <w:spacing w:before="0" w:after="0" w:line="240" w:lineRule="auto"/>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br/>
              <w:t>celkem</w:t>
            </w:r>
            <w:r w:rsidR="00BE0EB4" w:rsidRPr="00985719">
              <w:rPr>
                <w:rFonts w:asciiTheme="majorHAnsi" w:eastAsia="Times New Roman" w:hAnsiTheme="majorHAnsi"/>
                <w:spacing w:val="0"/>
                <w:sz w:val="16"/>
                <w:szCs w:val="16"/>
                <w:lang w:bidi="ar-SA"/>
              </w:rPr>
              <w:t xml:space="preserve"> </w:t>
            </w:r>
            <w:r w:rsidR="00BE0EB4">
              <w:rPr>
                <w:rFonts w:asciiTheme="majorHAnsi" w:eastAsia="Times New Roman" w:hAnsiTheme="majorHAnsi"/>
                <w:spacing w:val="0"/>
                <w:sz w:val="16"/>
                <w:szCs w:val="16"/>
                <w:lang w:bidi="ar-SA"/>
              </w:rPr>
              <w:t>o</w:t>
            </w:r>
            <w:r w:rsidR="00BE0EB4" w:rsidRPr="00985719">
              <w:rPr>
                <w:rFonts w:asciiTheme="majorHAnsi" w:eastAsia="Times New Roman" w:hAnsiTheme="majorHAnsi"/>
                <w:spacing w:val="0"/>
                <w:sz w:val="16"/>
                <w:szCs w:val="16"/>
                <w:lang w:bidi="ar-SA"/>
              </w:rPr>
              <w:t>byvate</w:t>
            </w:r>
            <w:r w:rsidR="00BE0EB4">
              <w:rPr>
                <w:rFonts w:asciiTheme="majorHAnsi" w:eastAsia="Times New Roman" w:hAnsiTheme="majorHAnsi"/>
                <w:spacing w:val="0"/>
                <w:sz w:val="16"/>
                <w:szCs w:val="16"/>
                <w:lang w:bidi="ar-SA"/>
              </w:rPr>
              <w:t>l</w:t>
            </w:r>
          </w:p>
        </w:tc>
        <w:tc>
          <w:tcPr>
            <w:tcW w:w="3754" w:type="pct"/>
            <w:gridSpan w:val="9"/>
            <w:tcBorders>
              <w:top w:val="nil"/>
              <w:left w:val="single" w:sz="4" w:space="0" w:color="BFBFBF" w:themeColor="background1" w:themeShade="BF"/>
            </w:tcBorders>
            <w:shd w:val="clear" w:color="auto" w:fill="372C74"/>
            <w:vAlign w:val="center"/>
            <w:hideMark/>
          </w:tcPr>
          <w:p w:rsidR="00543B3D" w:rsidRPr="00985719" w:rsidRDefault="00543B3D" w:rsidP="00283AF8">
            <w:pPr>
              <w:spacing w:before="0" w:after="0" w:line="240" w:lineRule="auto"/>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z toho národnost</w:t>
            </w:r>
          </w:p>
        </w:tc>
      </w:tr>
      <w:tr w:rsidR="00BE0EB4" w:rsidRPr="00985719" w:rsidTr="00BE0EB4">
        <w:trPr>
          <w:cantSplit/>
          <w:trHeight w:val="1134"/>
        </w:trPr>
        <w:tc>
          <w:tcPr>
            <w:tcW w:w="800" w:type="pct"/>
            <w:vMerge/>
            <w:tcBorders>
              <w:top w:val="single" w:sz="4" w:space="0" w:color="BFBFBF" w:themeColor="background1" w:themeShade="BF"/>
              <w:right w:val="single" w:sz="4" w:space="0" w:color="BFBFBF" w:themeColor="background1" w:themeShade="BF"/>
            </w:tcBorders>
            <w:shd w:val="clear" w:color="auto" w:fill="372C74"/>
            <w:vAlign w:val="center"/>
            <w:hideMark/>
          </w:tcPr>
          <w:p w:rsidR="00543B3D" w:rsidRPr="00985719" w:rsidRDefault="00543B3D" w:rsidP="00283AF8">
            <w:pPr>
              <w:spacing w:before="0" w:after="0" w:line="240" w:lineRule="auto"/>
              <w:jc w:val="left"/>
              <w:rPr>
                <w:rFonts w:asciiTheme="majorHAnsi" w:eastAsia="Times New Roman" w:hAnsiTheme="majorHAnsi"/>
                <w:spacing w:val="0"/>
                <w:sz w:val="16"/>
                <w:szCs w:val="16"/>
                <w:lang w:bidi="ar-SA"/>
              </w:rPr>
            </w:pPr>
          </w:p>
        </w:tc>
        <w:tc>
          <w:tcPr>
            <w:tcW w:w="446"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vAlign w:val="center"/>
            <w:hideMark/>
          </w:tcPr>
          <w:p w:rsidR="00543B3D" w:rsidRPr="00985719" w:rsidRDefault="00543B3D" w:rsidP="00283AF8">
            <w:pPr>
              <w:spacing w:before="0" w:after="0" w:line="240" w:lineRule="auto"/>
              <w:jc w:val="left"/>
              <w:rPr>
                <w:rFonts w:asciiTheme="majorHAnsi" w:eastAsia="Times New Roman" w:hAnsiTheme="majorHAnsi"/>
                <w:spacing w:val="0"/>
                <w:sz w:val="16"/>
                <w:szCs w:val="16"/>
                <w:lang w:bidi="ar-SA"/>
              </w:rPr>
            </w:pPr>
          </w:p>
        </w:tc>
        <w:tc>
          <w:tcPr>
            <w:tcW w:w="417"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textDirection w:val="btLr"/>
            <w:vAlign w:val="center"/>
            <w:hideMark/>
          </w:tcPr>
          <w:p w:rsidR="00543B3D" w:rsidRPr="00985719" w:rsidRDefault="00543B3D" w:rsidP="00BE0EB4">
            <w:pPr>
              <w:spacing w:before="0" w:after="0" w:line="240" w:lineRule="auto"/>
              <w:ind w:left="113" w:right="113"/>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česká</w:t>
            </w:r>
          </w:p>
        </w:tc>
        <w:tc>
          <w:tcPr>
            <w:tcW w:w="417"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textDirection w:val="btLr"/>
            <w:vAlign w:val="center"/>
            <w:hideMark/>
          </w:tcPr>
          <w:p w:rsidR="00543B3D" w:rsidRPr="00985719" w:rsidRDefault="00543B3D" w:rsidP="00BE0EB4">
            <w:pPr>
              <w:spacing w:before="0" w:after="0" w:line="240" w:lineRule="auto"/>
              <w:ind w:left="113" w:right="113"/>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moravská</w:t>
            </w:r>
          </w:p>
        </w:tc>
        <w:tc>
          <w:tcPr>
            <w:tcW w:w="417"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textDirection w:val="btLr"/>
            <w:vAlign w:val="center"/>
            <w:hideMark/>
          </w:tcPr>
          <w:p w:rsidR="00543B3D" w:rsidRPr="00985719" w:rsidRDefault="00543B3D" w:rsidP="00BE0EB4">
            <w:pPr>
              <w:spacing w:before="0" w:after="0" w:line="240" w:lineRule="auto"/>
              <w:ind w:left="113" w:right="113"/>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slezská</w:t>
            </w:r>
          </w:p>
        </w:tc>
        <w:tc>
          <w:tcPr>
            <w:tcW w:w="417"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textDirection w:val="btLr"/>
            <w:vAlign w:val="center"/>
            <w:hideMark/>
          </w:tcPr>
          <w:p w:rsidR="00543B3D" w:rsidRPr="00985719" w:rsidRDefault="00543B3D" w:rsidP="00BE0EB4">
            <w:pPr>
              <w:spacing w:before="0" w:after="0" w:line="240" w:lineRule="auto"/>
              <w:ind w:left="113" w:right="113"/>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slovenská</w:t>
            </w:r>
          </w:p>
        </w:tc>
        <w:tc>
          <w:tcPr>
            <w:tcW w:w="417"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textDirection w:val="btLr"/>
            <w:vAlign w:val="center"/>
            <w:hideMark/>
          </w:tcPr>
          <w:p w:rsidR="00543B3D" w:rsidRPr="00985719" w:rsidRDefault="00543B3D" w:rsidP="00BE0EB4">
            <w:pPr>
              <w:spacing w:before="0" w:after="0" w:line="240" w:lineRule="auto"/>
              <w:ind w:left="113" w:right="113"/>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polská</w:t>
            </w:r>
          </w:p>
        </w:tc>
        <w:tc>
          <w:tcPr>
            <w:tcW w:w="417"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textDirection w:val="btLr"/>
            <w:vAlign w:val="center"/>
            <w:hideMark/>
          </w:tcPr>
          <w:p w:rsidR="00543B3D" w:rsidRPr="00985719" w:rsidRDefault="00543B3D" w:rsidP="00BE0EB4">
            <w:pPr>
              <w:spacing w:before="0" w:after="0" w:line="240" w:lineRule="auto"/>
              <w:ind w:left="113" w:right="113"/>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německá</w:t>
            </w:r>
          </w:p>
        </w:tc>
        <w:tc>
          <w:tcPr>
            <w:tcW w:w="417"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textDirection w:val="btLr"/>
            <w:vAlign w:val="center"/>
            <w:hideMark/>
          </w:tcPr>
          <w:p w:rsidR="00543B3D" w:rsidRPr="00985719" w:rsidRDefault="00543B3D" w:rsidP="00BE0EB4">
            <w:pPr>
              <w:spacing w:before="0" w:after="0" w:line="240" w:lineRule="auto"/>
              <w:ind w:left="113" w:right="113"/>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romská</w:t>
            </w:r>
          </w:p>
        </w:tc>
        <w:tc>
          <w:tcPr>
            <w:tcW w:w="417"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textDirection w:val="btLr"/>
            <w:vAlign w:val="center"/>
            <w:hideMark/>
          </w:tcPr>
          <w:p w:rsidR="00543B3D" w:rsidRPr="00985719" w:rsidRDefault="00543B3D" w:rsidP="00BE0EB4">
            <w:pPr>
              <w:spacing w:before="0" w:after="0" w:line="240" w:lineRule="auto"/>
              <w:ind w:left="113" w:right="113"/>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ukrajinská</w:t>
            </w:r>
          </w:p>
        </w:tc>
        <w:tc>
          <w:tcPr>
            <w:tcW w:w="417" w:type="pct"/>
            <w:tcBorders>
              <w:top w:val="single" w:sz="4" w:space="0" w:color="BFBFBF" w:themeColor="background1" w:themeShade="BF"/>
              <w:left w:val="single" w:sz="4" w:space="0" w:color="BFBFBF" w:themeColor="background1" w:themeShade="BF"/>
            </w:tcBorders>
            <w:shd w:val="clear" w:color="auto" w:fill="372C74"/>
            <w:textDirection w:val="btLr"/>
            <w:vAlign w:val="center"/>
            <w:hideMark/>
          </w:tcPr>
          <w:p w:rsidR="00543B3D" w:rsidRPr="00985719" w:rsidRDefault="00543B3D" w:rsidP="00BE0EB4">
            <w:pPr>
              <w:spacing w:before="0" w:after="0" w:line="240" w:lineRule="auto"/>
              <w:ind w:left="113" w:right="113"/>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vietnamská</w:t>
            </w:r>
          </w:p>
        </w:tc>
      </w:tr>
      <w:tr w:rsidR="00BE0EB4" w:rsidRPr="00985719" w:rsidTr="00510757">
        <w:trPr>
          <w:trHeight w:val="283"/>
        </w:trPr>
        <w:tc>
          <w:tcPr>
            <w:tcW w:w="800" w:type="pct"/>
            <w:shd w:val="clear" w:color="auto" w:fill="auto"/>
            <w:vAlign w:val="center"/>
            <w:hideMark/>
          </w:tcPr>
          <w:p w:rsidR="00BE0EB4" w:rsidRPr="00BE0EB4" w:rsidRDefault="00BE0EB4" w:rsidP="00510757">
            <w:pPr>
              <w:spacing w:before="0" w:after="0" w:line="240" w:lineRule="auto"/>
              <w:jc w:val="left"/>
              <w:rPr>
                <w:sz w:val="16"/>
                <w:szCs w:val="16"/>
              </w:rPr>
            </w:pPr>
            <w:r w:rsidRPr="00BE0EB4">
              <w:rPr>
                <w:sz w:val="16"/>
                <w:szCs w:val="16"/>
              </w:rPr>
              <w:t>Aš</w:t>
            </w:r>
          </w:p>
        </w:tc>
        <w:tc>
          <w:tcPr>
            <w:tcW w:w="446"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16 994</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10 237</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18</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0</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576</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42</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304</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90</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337</w:t>
            </w:r>
          </w:p>
        </w:tc>
      </w:tr>
      <w:tr w:rsidR="00BE0EB4" w:rsidRPr="00985719" w:rsidTr="00510757">
        <w:trPr>
          <w:trHeight w:val="283"/>
        </w:trPr>
        <w:tc>
          <w:tcPr>
            <w:tcW w:w="800" w:type="pct"/>
            <w:shd w:val="clear" w:color="auto" w:fill="auto"/>
            <w:vAlign w:val="center"/>
            <w:hideMark/>
          </w:tcPr>
          <w:p w:rsidR="00BE0EB4" w:rsidRPr="00BE0EB4" w:rsidRDefault="00BE0EB4" w:rsidP="00510757">
            <w:pPr>
              <w:spacing w:before="0" w:after="0" w:line="240" w:lineRule="auto"/>
              <w:jc w:val="left"/>
              <w:rPr>
                <w:sz w:val="16"/>
                <w:szCs w:val="16"/>
              </w:rPr>
            </w:pPr>
            <w:r w:rsidRPr="00BE0EB4">
              <w:rPr>
                <w:sz w:val="16"/>
                <w:szCs w:val="16"/>
              </w:rPr>
              <w:t>Cheb</w:t>
            </w:r>
          </w:p>
        </w:tc>
        <w:tc>
          <w:tcPr>
            <w:tcW w:w="446"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49 743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31 108</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45</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4</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1 196</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14</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498</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15</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246</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1 730</w:t>
            </w:r>
          </w:p>
        </w:tc>
      </w:tr>
      <w:tr w:rsidR="00BE0EB4" w:rsidRPr="00985719" w:rsidTr="00510757">
        <w:trPr>
          <w:trHeight w:val="283"/>
        </w:trPr>
        <w:tc>
          <w:tcPr>
            <w:tcW w:w="800" w:type="pct"/>
            <w:shd w:val="clear" w:color="auto" w:fill="auto"/>
            <w:vAlign w:val="center"/>
            <w:hideMark/>
          </w:tcPr>
          <w:p w:rsidR="00BE0EB4" w:rsidRPr="00BE0EB4" w:rsidRDefault="00BE0EB4" w:rsidP="00510757">
            <w:pPr>
              <w:spacing w:before="0" w:after="0" w:line="240" w:lineRule="auto"/>
              <w:jc w:val="left"/>
              <w:rPr>
                <w:sz w:val="16"/>
                <w:szCs w:val="16"/>
              </w:rPr>
            </w:pPr>
            <w:r w:rsidRPr="00BE0EB4">
              <w:rPr>
                <w:sz w:val="16"/>
                <w:szCs w:val="16"/>
              </w:rPr>
              <w:t>Karlovy Vary</w:t>
            </w:r>
          </w:p>
        </w:tc>
        <w:tc>
          <w:tcPr>
            <w:tcW w:w="446"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86 294</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56 795</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94</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2</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1 624</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67</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957</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93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597</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509</w:t>
            </w:r>
          </w:p>
        </w:tc>
      </w:tr>
      <w:tr w:rsidR="00BE0EB4" w:rsidRPr="00985719" w:rsidTr="00510757">
        <w:trPr>
          <w:trHeight w:val="283"/>
        </w:trPr>
        <w:tc>
          <w:tcPr>
            <w:tcW w:w="800" w:type="pct"/>
            <w:shd w:val="clear" w:color="auto" w:fill="auto"/>
            <w:vAlign w:val="center"/>
            <w:hideMark/>
          </w:tcPr>
          <w:p w:rsidR="00BE0EB4" w:rsidRPr="00BE0EB4" w:rsidRDefault="00BE0EB4" w:rsidP="00510757">
            <w:pPr>
              <w:spacing w:before="0" w:after="0" w:line="240" w:lineRule="auto"/>
              <w:jc w:val="left"/>
              <w:rPr>
                <w:sz w:val="16"/>
                <w:szCs w:val="16"/>
              </w:rPr>
            </w:pPr>
            <w:r w:rsidRPr="00BE0EB4">
              <w:rPr>
                <w:sz w:val="16"/>
                <w:szCs w:val="16"/>
              </w:rPr>
              <w:t>Kraslice</w:t>
            </w:r>
          </w:p>
        </w:tc>
        <w:tc>
          <w:tcPr>
            <w:tcW w:w="446"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13 155</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8 085</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17</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353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25</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310</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8</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48</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95</w:t>
            </w:r>
          </w:p>
        </w:tc>
      </w:tr>
      <w:tr w:rsidR="00BE0EB4" w:rsidRPr="00985719" w:rsidTr="00510757">
        <w:trPr>
          <w:trHeight w:val="283"/>
        </w:trPr>
        <w:tc>
          <w:tcPr>
            <w:tcW w:w="800" w:type="pct"/>
            <w:shd w:val="clear" w:color="auto" w:fill="auto"/>
            <w:vAlign w:val="center"/>
            <w:hideMark/>
          </w:tcPr>
          <w:p w:rsidR="00BE0EB4" w:rsidRPr="00BE0EB4" w:rsidRDefault="00BE0EB4" w:rsidP="00510757">
            <w:pPr>
              <w:spacing w:before="0" w:after="0" w:line="240" w:lineRule="auto"/>
              <w:jc w:val="left"/>
              <w:rPr>
                <w:sz w:val="16"/>
                <w:szCs w:val="16"/>
              </w:rPr>
            </w:pPr>
            <w:r w:rsidRPr="00BE0EB4">
              <w:rPr>
                <w:sz w:val="16"/>
                <w:szCs w:val="16"/>
              </w:rPr>
              <w:t>Mariánské Lázně</w:t>
            </w:r>
          </w:p>
        </w:tc>
        <w:tc>
          <w:tcPr>
            <w:tcW w:w="446"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23 451</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15 811</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42</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569</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17</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84</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126</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59</w:t>
            </w:r>
          </w:p>
        </w:tc>
      </w:tr>
      <w:tr w:rsidR="00BE0EB4" w:rsidRPr="00985719" w:rsidTr="00510757">
        <w:trPr>
          <w:trHeight w:val="283"/>
        </w:trPr>
        <w:tc>
          <w:tcPr>
            <w:tcW w:w="800" w:type="pct"/>
            <w:shd w:val="clear" w:color="auto" w:fill="auto"/>
            <w:vAlign w:val="center"/>
            <w:hideMark/>
          </w:tcPr>
          <w:p w:rsidR="00BE0EB4" w:rsidRPr="00BE0EB4" w:rsidRDefault="00BE0EB4" w:rsidP="00510757">
            <w:pPr>
              <w:spacing w:before="0" w:after="0" w:line="240" w:lineRule="auto"/>
              <w:jc w:val="left"/>
              <w:rPr>
                <w:sz w:val="16"/>
                <w:szCs w:val="16"/>
              </w:rPr>
            </w:pPr>
            <w:r w:rsidRPr="00BE0EB4">
              <w:rPr>
                <w:sz w:val="16"/>
                <w:szCs w:val="16"/>
              </w:rPr>
              <w:t>Ostrov</w:t>
            </w:r>
          </w:p>
        </w:tc>
        <w:tc>
          <w:tcPr>
            <w:tcW w:w="446"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29 152</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18 198</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713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28</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481</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15</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86</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506</w:t>
            </w:r>
          </w:p>
        </w:tc>
      </w:tr>
      <w:tr w:rsidR="00BE0EB4" w:rsidRPr="00985719" w:rsidTr="00510757">
        <w:trPr>
          <w:trHeight w:val="283"/>
        </w:trPr>
        <w:tc>
          <w:tcPr>
            <w:tcW w:w="800" w:type="pct"/>
            <w:shd w:val="clear" w:color="auto" w:fill="auto"/>
            <w:vAlign w:val="center"/>
            <w:hideMark/>
          </w:tcPr>
          <w:p w:rsidR="00BE0EB4" w:rsidRPr="00BE0EB4" w:rsidRDefault="00BE0EB4" w:rsidP="00510757">
            <w:pPr>
              <w:spacing w:before="0" w:after="0" w:line="240" w:lineRule="auto"/>
              <w:jc w:val="left"/>
              <w:rPr>
                <w:sz w:val="16"/>
                <w:szCs w:val="16"/>
              </w:rPr>
            </w:pPr>
            <w:r w:rsidRPr="00BE0EB4">
              <w:rPr>
                <w:sz w:val="16"/>
                <w:szCs w:val="16"/>
              </w:rPr>
              <w:t>Sokolov</w:t>
            </w:r>
          </w:p>
        </w:tc>
        <w:tc>
          <w:tcPr>
            <w:tcW w:w="446"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76 806</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50 051</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92</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5</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2 186</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60</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1 797</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78</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183</w:t>
            </w:r>
          </w:p>
        </w:tc>
        <w:tc>
          <w:tcPr>
            <w:tcW w:w="417" w:type="pct"/>
            <w:shd w:val="clear" w:color="auto" w:fill="auto"/>
            <w:vAlign w:val="center"/>
            <w:hideMark/>
          </w:tcPr>
          <w:p w:rsidR="00BE0EB4" w:rsidRPr="00BE0EB4" w:rsidRDefault="00BE0EB4" w:rsidP="00510757">
            <w:pPr>
              <w:spacing w:before="0" w:after="0" w:line="240" w:lineRule="auto"/>
              <w:jc w:val="right"/>
              <w:rPr>
                <w:sz w:val="16"/>
                <w:szCs w:val="16"/>
              </w:rPr>
            </w:pPr>
            <w:r w:rsidRPr="00BE0EB4">
              <w:rPr>
                <w:sz w:val="16"/>
                <w:szCs w:val="16"/>
              </w:rPr>
              <w:t>361</w:t>
            </w:r>
          </w:p>
        </w:tc>
      </w:tr>
    </w:tbl>
    <w:p w:rsidR="00543B3D" w:rsidRPr="00985719" w:rsidRDefault="00543B3D" w:rsidP="00543B3D">
      <w:pPr>
        <w:spacing w:before="0" w:after="120"/>
        <w:rPr>
          <w:rFonts w:asciiTheme="majorHAnsi" w:hAnsiTheme="majorHAnsi"/>
          <w:sz w:val="16"/>
          <w:szCs w:val="16"/>
        </w:rPr>
      </w:pPr>
      <w:r w:rsidRPr="00985719">
        <w:rPr>
          <w:rFonts w:asciiTheme="majorHAnsi" w:hAnsiTheme="majorHAnsi"/>
          <w:sz w:val="16"/>
          <w:szCs w:val="16"/>
        </w:rPr>
        <w:t xml:space="preserve">Zdroj: SLDB 2011 </w:t>
      </w:r>
    </w:p>
    <w:p w:rsidR="00A27BE6" w:rsidRPr="00300D32" w:rsidRDefault="00A27BE6" w:rsidP="00A27BE6">
      <w:pPr>
        <w:rPr>
          <w:rFonts w:asciiTheme="majorHAnsi" w:hAnsiTheme="majorHAnsi"/>
        </w:rPr>
      </w:pPr>
      <w:r>
        <w:rPr>
          <w:rFonts w:asciiTheme="majorHAnsi" w:hAnsiTheme="majorHAnsi"/>
        </w:rPr>
        <w:t>U velké části obyvatel se nepodařilo při sčítání v roce 2011 národnost zjistit. U vzorku respondentů lze konstatovat, že podíl obyvatel jiné než české (moravské a slezské) národnosti činí v SO ORP Ostrov cca 9,1 %, což je mírně nad průměrem celého kraje. Výrazně nadprůměrný podíl vykazují SO ORP v Aš a Cheb (11,6 % resp. 10,6 %).</w:t>
      </w:r>
    </w:p>
    <w:p w:rsidR="00A27BE6" w:rsidRDefault="00A27BE6" w:rsidP="00A27BE6">
      <w:pPr>
        <w:rPr>
          <w:rFonts w:asciiTheme="majorHAnsi" w:hAnsiTheme="majorHAnsi"/>
        </w:rPr>
      </w:pPr>
      <w:r w:rsidRPr="007B44F9">
        <w:rPr>
          <w:rFonts w:asciiTheme="majorHAnsi" w:hAnsiTheme="majorHAnsi"/>
        </w:rPr>
        <w:t xml:space="preserve">V samotném městě </w:t>
      </w:r>
      <w:r>
        <w:rPr>
          <w:rFonts w:asciiTheme="majorHAnsi" w:hAnsiTheme="majorHAnsi"/>
        </w:rPr>
        <w:t>Ostrov jsou relace v národnostním složení velmi podobné, cca 90 % tvoří česká, moravská a slezská národnost.</w:t>
      </w:r>
    </w:p>
    <w:p w:rsidR="007B44F9" w:rsidRDefault="007B44F9" w:rsidP="007B44F9">
      <w:pPr>
        <w:rPr>
          <w:rFonts w:asciiTheme="majorHAnsi" w:hAnsiTheme="majorHAnsi"/>
        </w:rPr>
      </w:pPr>
      <w:r w:rsidRPr="007B44F9">
        <w:rPr>
          <w:rFonts w:asciiTheme="majorHAnsi" w:hAnsiTheme="majorHAnsi"/>
        </w:rPr>
        <w:t>Z hlediska státního občanství</w:t>
      </w:r>
      <w:r>
        <w:rPr>
          <w:rFonts w:asciiTheme="majorHAnsi" w:hAnsiTheme="majorHAnsi"/>
        </w:rPr>
        <w:t xml:space="preserve"> má drtivá většina obyvatel </w:t>
      </w:r>
      <w:r w:rsidR="00A27BE6">
        <w:rPr>
          <w:rFonts w:asciiTheme="majorHAnsi" w:hAnsiTheme="majorHAnsi"/>
        </w:rPr>
        <w:t xml:space="preserve">SO ORP </w:t>
      </w:r>
      <w:r w:rsidR="00283AF8">
        <w:rPr>
          <w:rFonts w:asciiTheme="majorHAnsi" w:hAnsiTheme="majorHAnsi"/>
        </w:rPr>
        <w:t>Ostrova</w:t>
      </w:r>
      <w:r>
        <w:rPr>
          <w:rFonts w:asciiTheme="majorHAnsi" w:hAnsiTheme="majorHAnsi"/>
        </w:rPr>
        <w:t xml:space="preserve"> občanství ČR (</w:t>
      </w:r>
      <w:r w:rsidR="00A27BE6">
        <w:rPr>
          <w:rFonts w:asciiTheme="majorHAnsi" w:hAnsiTheme="majorHAnsi"/>
        </w:rPr>
        <w:t>91,7</w:t>
      </w:r>
      <w:r>
        <w:rPr>
          <w:rFonts w:asciiTheme="majorHAnsi" w:hAnsiTheme="majorHAnsi"/>
        </w:rPr>
        <w:t xml:space="preserve"> %). Dále jsou </w:t>
      </w:r>
      <w:r w:rsidR="00A27BE6">
        <w:rPr>
          <w:rFonts w:asciiTheme="majorHAnsi" w:hAnsiTheme="majorHAnsi"/>
        </w:rPr>
        <w:t xml:space="preserve">nejpočetněji </w:t>
      </w:r>
      <w:r>
        <w:rPr>
          <w:rFonts w:asciiTheme="majorHAnsi" w:hAnsiTheme="majorHAnsi"/>
        </w:rPr>
        <w:t xml:space="preserve">zastoupeni občané </w:t>
      </w:r>
      <w:r w:rsidR="00A27BE6">
        <w:rPr>
          <w:rFonts w:asciiTheme="majorHAnsi" w:hAnsiTheme="majorHAnsi"/>
        </w:rPr>
        <w:t>Vietnamu (3,8 %).</w:t>
      </w:r>
    </w:p>
    <w:p w:rsidR="00E05B9F" w:rsidRDefault="00E05B9F" w:rsidP="00E05B9F">
      <w:pPr>
        <w:spacing w:before="0" w:after="120"/>
        <w:rPr>
          <w:rFonts w:asciiTheme="minorHAnsi" w:hAnsiTheme="minorHAnsi" w:cs="Arial-ItalicMT"/>
          <w:iCs/>
          <w:sz w:val="18"/>
          <w:szCs w:val="18"/>
        </w:rPr>
      </w:pPr>
      <w:bookmarkStart w:id="62" w:name="_Toc516059016"/>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7</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757F43">
        <w:rPr>
          <w:rFonts w:asciiTheme="minorHAnsi" w:hAnsiTheme="minorHAnsi" w:cs="Arial-ItalicMT"/>
          <w:iCs/>
          <w:sz w:val="18"/>
          <w:szCs w:val="18"/>
        </w:rPr>
        <w:t xml:space="preserve">Obyvatelstvo podle </w:t>
      </w:r>
      <w:r>
        <w:rPr>
          <w:rFonts w:asciiTheme="minorHAnsi" w:hAnsiTheme="minorHAnsi" w:cs="Arial-ItalicMT"/>
          <w:iCs/>
          <w:sz w:val="18"/>
          <w:szCs w:val="18"/>
        </w:rPr>
        <w:t xml:space="preserve">státní příslušnosti v SO ORP </w:t>
      </w:r>
      <w:r w:rsidR="00A27BE6">
        <w:rPr>
          <w:rFonts w:asciiTheme="minorHAnsi" w:hAnsiTheme="minorHAnsi" w:cs="Arial-ItalicMT"/>
          <w:iCs/>
          <w:sz w:val="18"/>
          <w:szCs w:val="18"/>
        </w:rPr>
        <w:t>Karlovarského kraje</w:t>
      </w:r>
      <w:bookmarkEnd w:id="62"/>
    </w:p>
    <w:tbl>
      <w:tblPr>
        <w:tblW w:w="4967" w:type="pct"/>
        <w:tblBorders>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673"/>
        <w:gridCol w:w="842"/>
        <w:gridCol w:w="992"/>
        <w:gridCol w:w="994"/>
        <w:gridCol w:w="1001"/>
        <w:gridCol w:w="996"/>
        <w:gridCol w:w="994"/>
        <w:gridCol w:w="994"/>
        <w:gridCol w:w="979"/>
      </w:tblGrid>
      <w:tr w:rsidR="00283AF8" w:rsidRPr="00985719" w:rsidTr="00A27BE6">
        <w:trPr>
          <w:trHeight w:val="260"/>
        </w:trPr>
        <w:tc>
          <w:tcPr>
            <w:tcW w:w="884" w:type="pct"/>
            <w:vMerge w:val="restart"/>
            <w:tcBorders>
              <w:top w:val="nil"/>
              <w:righ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center"/>
              <w:rPr>
                <w:rFonts w:asciiTheme="majorHAnsi" w:eastAsia="Times New Roman" w:hAnsiTheme="majorHAnsi"/>
                <w:spacing w:val="0"/>
                <w:sz w:val="16"/>
                <w:szCs w:val="16"/>
                <w:lang w:bidi="ar-SA"/>
              </w:rPr>
            </w:pPr>
          </w:p>
        </w:tc>
        <w:tc>
          <w:tcPr>
            <w:tcW w:w="445" w:type="pct"/>
            <w:vMerge w:val="restart"/>
            <w:tcBorders>
              <w:top w:val="nil"/>
              <w:left w:val="single" w:sz="4" w:space="0" w:color="BFBFBF" w:themeColor="background1" w:themeShade="BF"/>
              <w:right w:val="single" w:sz="4" w:space="0" w:color="BFBFBF" w:themeColor="background1" w:themeShade="BF"/>
            </w:tcBorders>
            <w:shd w:val="clear" w:color="auto" w:fill="372C74"/>
            <w:vAlign w:val="center"/>
            <w:hideMark/>
          </w:tcPr>
          <w:p w:rsidR="00283AF8" w:rsidRPr="00985719" w:rsidRDefault="00AF0EE0" w:rsidP="00283AF8">
            <w:pPr>
              <w:spacing w:before="0" w:after="0" w:line="240" w:lineRule="auto"/>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C</w:t>
            </w:r>
            <w:r w:rsidR="00283AF8" w:rsidRPr="00985719">
              <w:rPr>
                <w:rFonts w:asciiTheme="majorHAnsi" w:eastAsia="Times New Roman" w:hAnsiTheme="majorHAnsi"/>
                <w:spacing w:val="0"/>
                <w:sz w:val="16"/>
                <w:szCs w:val="16"/>
                <w:lang w:bidi="ar-SA"/>
              </w:rPr>
              <w:t>elkem</w:t>
            </w:r>
            <w:r>
              <w:rPr>
                <w:rFonts w:asciiTheme="majorHAnsi" w:eastAsia="Times New Roman" w:hAnsiTheme="majorHAnsi"/>
                <w:spacing w:val="0"/>
                <w:sz w:val="16"/>
                <w:szCs w:val="16"/>
                <w:lang w:bidi="ar-SA"/>
              </w:rPr>
              <w:t xml:space="preserve"> obyvatel</w:t>
            </w:r>
          </w:p>
        </w:tc>
        <w:tc>
          <w:tcPr>
            <w:tcW w:w="3671" w:type="pct"/>
            <w:gridSpan w:val="7"/>
            <w:tcBorders>
              <w:top w:val="nil"/>
              <w:lef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center"/>
              <w:rPr>
                <w:rFonts w:asciiTheme="majorHAnsi" w:eastAsia="Times New Roman" w:hAnsiTheme="majorHAnsi"/>
                <w:spacing w:val="0"/>
                <w:sz w:val="16"/>
                <w:szCs w:val="16"/>
                <w:lang w:bidi="ar-SA"/>
              </w:rPr>
            </w:pPr>
            <w:r w:rsidRPr="00985719">
              <w:rPr>
                <w:rFonts w:asciiTheme="majorHAnsi" w:eastAsia="Times New Roman" w:hAnsiTheme="majorHAnsi"/>
                <w:spacing w:val="0"/>
                <w:sz w:val="16"/>
                <w:szCs w:val="16"/>
                <w:lang w:bidi="ar-SA"/>
              </w:rPr>
              <w:t xml:space="preserve">z toho </w:t>
            </w:r>
            <w:r>
              <w:rPr>
                <w:rFonts w:asciiTheme="majorHAnsi" w:eastAsia="Times New Roman" w:hAnsiTheme="majorHAnsi"/>
                <w:spacing w:val="0"/>
                <w:sz w:val="16"/>
                <w:szCs w:val="16"/>
                <w:lang w:bidi="ar-SA"/>
              </w:rPr>
              <w:t>státní občanství</w:t>
            </w:r>
          </w:p>
        </w:tc>
      </w:tr>
      <w:tr w:rsidR="00AF0EE0" w:rsidRPr="00985719" w:rsidTr="00A27BE6">
        <w:trPr>
          <w:trHeight w:val="260"/>
        </w:trPr>
        <w:tc>
          <w:tcPr>
            <w:tcW w:w="884" w:type="pct"/>
            <w:vMerge/>
            <w:tcBorders>
              <w:top w:val="single" w:sz="4" w:space="0" w:color="BFBFBF" w:themeColor="background1" w:themeShade="BF"/>
              <w:righ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left"/>
              <w:rPr>
                <w:rFonts w:asciiTheme="majorHAnsi" w:eastAsia="Times New Roman" w:hAnsiTheme="majorHAnsi"/>
                <w:spacing w:val="0"/>
                <w:sz w:val="16"/>
                <w:szCs w:val="16"/>
                <w:lang w:bidi="ar-SA"/>
              </w:rPr>
            </w:pPr>
          </w:p>
        </w:tc>
        <w:tc>
          <w:tcPr>
            <w:tcW w:w="445" w:type="pct"/>
            <w:vMerge/>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left"/>
              <w:rPr>
                <w:rFonts w:asciiTheme="majorHAnsi" w:eastAsia="Times New Roman" w:hAnsiTheme="majorHAnsi"/>
                <w:spacing w:val="0"/>
                <w:sz w:val="16"/>
                <w:szCs w:val="16"/>
                <w:lang w:bidi="ar-SA"/>
              </w:rPr>
            </w:pPr>
          </w:p>
        </w:tc>
        <w:tc>
          <w:tcPr>
            <w:tcW w:w="524"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center"/>
              <w:rPr>
                <w:rFonts w:asciiTheme="majorHAnsi" w:eastAsia="Times New Roman" w:hAnsiTheme="majorHAnsi"/>
                <w:spacing w:val="0"/>
                <w:sz w:val="16"/>
                <w:szCs w:val="16"/>
                <w:lang w:bidi="ar-SA"/>
              </w:rPr>
            </w:pPr>
            <w:r>
              <w:rPr>
                <w:rFonts w:asciiTheme="majorHAnsi" w:eastAsia="Times New Roman" w:hAnsiTheme="majorHAnsi"/>
                <w:spacing w:val="0"/>
                <w:sz w:val="16"/>
                <w:szCs w:val="16"/>
                <w:lang w:bidi="ar-SA"/>
              </w:rPr>
              <w:t>Č</w:t>
            </w:r>
            <w:r w:rsidRPr="00985719">
              <w:rPr>
                <w:rFonts w:asciiTheme="majorHAnsi" w:eastAsia="Times New Roman" w:hAnsiTheme="majorHAnsi"/>
                <w:spacing w:val="0"/>
                <w:sz w:val="16"/>
                <w:szCs w:val="16"/>
                <w:lang w:bidi="ar-SA"/>
              </w:rPr>
              <w:t>eská</w:t>
            </w:r>
            <w:r>
              <w:rPr>
                <w:rFonts w:asciiTheme="majorHAnsi" w:eastAsia="Times New Roman" w:hAnsiTheme="majorHAnsi"/>
                <w:spacing w:val="0"/>
                <w:sz w:val="16"/>
                <w:szCs w:val="16"/>
                <w:lang w:bidi="ar-SA"/>
              </w:rPr>
              <w:t xml:space="preserve"> republika</w:t>
            </w:r>
          </w:p>
        </w:tc>
        <w:tc>
          <w:tcPr>
            <w:tcW w:w="525"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center"/>
              <w:rPr>
                <w:rFonts w:asciiTheme="majorHAnsi" w:eastAsia="Times New Roman" w:hAnsiTheme="majorHAnsi"/>
                <w:spacing w:val="0"/>
                <w:sz w:val="16"/>
                <w:szCs w:val="16"/>
                <w:lang w:bidi="ar-SA"/>
              </w:rPr>
            </w:pPr>
            <w:r>
              <w:rPr>
                <w:rFonts w:asciiTheme="majorHAnsi" w:eastAsia="Times New Roman" w:hAnsiTheme="majorHAnsi"/>
                <w:spacing w:val="0"/>
                <w:sz w:val="16"/>
                <w:szCs w:val="16"/>
                <w:lang w:bidi="ar-SA"/>
              </w:rPr>
              <w:t>Slovensko</w:t>
            </w:r>
          </w:p>
        </w:tc>
        <w:tc>
          <w:tcPr>
            <w:tcW w:w="529"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center"/>
              <w:rPr>
                <w:rFonts w:asciiTheme="majorHAnsi" w:eastAsia="Times New Roman" w:hAnsiTheme="majorHAnsi"/>
                <w:spacing w:val="0"/>
                <w:sz w:val="16"/>
                <w:szCs w:val="16"/>
                <w:lang w:bidi="ar-SA"/>
              </w:rPr>
            </w:pPr>
            <w:r>
              <w:rPr>
                <w:rFonts w:asciiTheme="majorHAnsi" w:eastAsia="Times New Roman" w:hAnsiTheme="majorHAnsi"/>
                <w:spacing w:val="0"/>
                <w:sz w:val="16"/>
                <w:szCs w:val="16"/>
                <w:lang w:bidi="ar-SA"/>
              </w:rPr>
              <w:t>Německo</w:t>
            </w:r>
          </w:p>
        </w:tc>
        <w:tc>
          <w:tcPr>
            <w:tcW w:w="526"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center"/>
              <w:rPr>
                <w:rFonts w:asciiTheme="majorHAnsi" w:eastAsia="Times New Roman" w:hAnsiTheme="majorHAnsi"/>
                <w:spacing w:val="0"/>
                <w:sz w:val="16"/>
                <w:szCs w:val="16"/>
                <w:lang w:bidi="ar-SA"/>
              </w:rPr>
            </w:pPr>
            <w:r>
              <w:rPr>
                <w:rFonts w:asciiTheme="majorHAnsi" w:eastAsia="Times New Roman" w:hAnsiTheme="majorHAnsi"/>
                <w:spacing w:val="0"/>
                <w:sz w:val="16"/>
                <w:szCs w:val="16"/>
                <w:lang w:bidi="ar-SA"/>
              </w:rPr>
              <w:t>Polsko</w:t>
            </w:r>
          </w:p>
        </w:tc>
        <w:tc>
          <w:tcPr>
            <w:tcW w:w="525"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center"/>
              <w:rPr>
                <w:rFonts w:asciiTheme="majorHAnsi" w:eastAsia="Times New Roman" w:hAnsiTheme="majorHAnsi"/>
                <w:spacing w:val="0"/>
                <w:sz w:val="16"/>
                <w:szCs w:val="16"/>
                <w:lang w:bidi="ar-SA"/>
              </w:rPr>
            </w:pPr>
            <w:r>
              <w:rPr>
                <w:rFonts w:asciiTheme="majorHAnsi" w:eastAsia="Times New Roman" w:hAnsiTheme="majorHAnsi"/>
                <w:spacing w:val="0"/>
                <w:sz w:val="16"/>
                <w:szCs w:val="16"/>
                <w:lang w:bidi="ar-SA"/>
              </w:rPr>
              <w:t>Ukrajina</w:t>
            </w:r>
          </w:p>
        </w:tc>
        <w:tc>
          <w:tcPr>
            <w:tcW w:w="525" w:type="pct"/>
            <w:tcBorders>
              <w:top w:val="single" w:sz="4" w:space="0" w:color="BFBFBF" w:themeColor="background1" w:themeShade="BF"/>
              <w:left w:val="single" w:sz="4" w:space="0" w:color="BFBFBF" w:themeColor="background1" w:themeShade="BF"/>
              <w:righ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center"/>
              <w:rPr>
                <w:rFonts w:asciiTheme="majorHAnsi" w:eastAsia="Times New Roman" w:hAnsiTheme="majorHAnsi"/>
                <w:spacing w:val="0"/>
                <w:sz w:val="16"/>
                <w:szCs w:val="16"/>
                <w:lang w:bidi="ar-SA"/>
              </w:rPr>
            </w:pPr>
            <w:r>
              <w:rPr>
                <w:rFonts w:asciiTheme="majorHAnsi" w:eastAsia="Times New Roman" w:hAnsiTheme="majorHAnsi"/>
                <w:spacing w:val="0"/>
                <w:sz w:val="16"/>
                <w:szCs w:val="16"/>
                <w:lang w:bidi="ar-SA"/>
              </w:rPr>
              <w:t>Rusko</w:t>
            </w:r>
          </w:p>
        </w:tc>
        <w:tc>
          <w:tcPr>
            <w:tcW w:w="518" w:type="pct"/>
            <w:tcBorders>
              <w:top w:val="single" w:sz="4" w:space="0" w:color="BFBFBF" w:themeColor="background1" w:themeShade="BF"/>
              <w:left w:val="single" w:sz="4" w:space="0" w:color="BFBFBF" w:themeColor="background1" w:themeShade="BF"/>
            </w:tcBorders>
            <w:shd w:val="clear" w:color="auto" w:fill="372C74"/>
            <w:vAlign w:val="center"/>
            <w:hideMark/>
          </w:tcPr>
          <w:p w:rsidR="00283AF8" w:rsidRPr="00985719" w:rsidRDefault="00283AF8" w:rsidP="00283AF8">
            <w:pPr>
              <w:spacing w:before="0" w:after="0" w:line="240" w:lineRule="auto"/>
              <w:jc w:val="center"/>
              <w:rPr>
                <w:rFonts w:asciiTheme="majorHAnsi" w:eastAsia="Times New Roman" w:hAnsiTheme="majorHAnsi"/>
                <w:spacing w:val="0"/>
                <w:sz w:val="16"/>
                <w:szCs w:val="16"/>
                <w:lang w:bidi="ar-SA"/>
              </w:rPr>
            </w:pPr>
            <w:r>
              <w:rPr>
                <w:rFonts w:asciiTheme="majorHAnsi" w:eastAsia="Times New Roman" w:hAnsiTheme="majorHAnsi"/>
                <w:spacing w:val="0"/>
                <w:sz w:val="16"/>
                <w:szCs w:val="16"/>
                <w:lang w:bidi="ar-SA"/>
              </w:rPr>
              <w:t>Vietnam</w:t>
            </w:r>
          </w:p>
        </w:tc>
      </w:tr>
      <w:tr w:rsidR="00510757" w:rsidRPr="00510757" w:rsidTr="00A27BE6">
        <w:trPr>
          <w:trHeight w:val="283"/>
        </w:trPr>
        <w:tc>
          <w:tcPr>
            <w:tcW w:w="884" w:type="pct"/>
            <w:shd w:val="clear" w:color="auto" w:fill="auto"/>
            <w:vAlign w:val="center"/>
            <w:hideMark/>
          </w:tcPr>
          <w:p w:rsidR="00510757" w:rsidRPr="00510757" w:rsidRDefault="00510757" w:rsidP="00510757">
            <w:pPr>
              <w:spacing w:before="0" w:after="0" w:line="240" w:lineRule="auto"/>
              <w:ind w:firstLineChars="100" w:firstLine="160"/>
              <w:jc w:val="lef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Aš</w:t>
            </w:r>
          </w:p>
        </w:tc>
        <w:tc>
          <w:tcPr>
            <w:tcW w:w="44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16 994</w:t>
            </w:r>
          </w:p>
        </w:tc>
        <w:tc>
          <w:tcPr>
            <w:tcW w:w="524"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15 512</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152</w:t>
            </w:r>
          </w:p>
        </w:tc>
        <w:tc>
          <w:tcPr>
            <w:tcW w:w="529"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90</w:t>
            </w:r>
          </w:p>
        </w:tc>
        <w:tc>
          <w:tcPr>
            <w:tcW w:w="526"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50</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158</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12</w:t>
            </w:r>
          </w:p>
        </w:tc>
        <w:tc>
          <w:tcPr>
            <w:tcW w:w="518"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578</w:t>
            </w:r>
          </w:p>
        </w:tc>
      </w:tr>
      <w:tr w:rsidR="00510757" w:rsidRPr="00510757" w:rsidTr="00A27BE6">
        <w:trPr>
          <w:trHeight w:val="283"/>
        </w:trPr>
        <w:tc>
          <w:tcPr>
            <w:tcW w:w="884" w:type="pct"/>
            <w:shd w:val="clear" w:color="auto" w:fill="auto"/>
            <w:vAlign w:val="center"/>
            <w:hideMark/>
          </w:tcPr>
          <w:p w:rsidR="00510757" w:rsidRPr="00510757" w:rsidRDefault="00510757" w:rsidP="00510757">
            <w:pPr>
              <w:spacing w:before="0" w:after="0" w:line="240" w:lineRule="auto"/>
              <w:ind w:firstLineChars="100" w:firstLine="160"/>
              <w:jc w:val="lef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Cheb</w:t>
            </w:r>
          </w:p>
        </w:tc>
        <w:tc>
          <w:tcPr>
            <w:tcW w:w="44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49 743</w:t>
            </w:r>
          </w:p>
        </w:tc>
        <w:tc>
          <w:tcPr>
            <w:tcW w:w="524"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44 681</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216</w:t>
            </w:r>
          </w:p>
        </w:tc>
        <w:tc>
          <w:tcPr>
            <w:tcW w:w="529"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251</w:t>
            </w:r>
          </w:p>
        </w:tc>
        <w:tc>
          <w:tcPr>
            <w:tcW w:w="526"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7</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409</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89</w:t>
            </w:r>
          </w:p>
        </w:tc>
        <w:tc>
          <w:tcPr>
            <w:tcW w:w="518"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2 679</w:t>
            </w:r>
          </w:p>
        </w:tc>
      </w:tr>
      <w:tr w:rsidR="00510757" w:rsidRPr="00510757" w:rsidTr="00A27BE6">
        <w:trPr>
          <w:trHeight w:val="283"/>
        </w:trPr>
        <w:tc>
          <w:tcPr>
            <w:tcW w:w="884" w:type="pct"/>
            <w:shd w:val="clear" w:color="auto" w:fill="auto"/>
            <w:vAlign w:val="center"/>
            <w:hideMark/>
          </w:tcPr>
          <w:p w:rsidR="00510757" w:rsidRPr="00510757" w:rsidRDefault="00510757" w:rsidP="00510757">
            <w:pPr>
              <w:spacing w:before="0" w:after="0" w:line="240" w:lineRule="auto"/>
              <w:ind w:firstLineChars="100" w:firstLine="160"/>
              <w:jc w:val="lef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Karlovy Vary</w:t>
            </w:r>
          </w:p>
        </w:tc>
        <w:tc>
          <w:tcPr>
            <w:tcW w:w="44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86 294</w:t>
            </w:r>
          </w:p>
        </w:tc>
        <w:tc>
          <w:tcPr>
            <w:tcW w:w="524"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79 223</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372</w:t>
            </w:r>
          </w:p>
        </w:tc>
        <w:tc>
          <w:tcPr>
            <w:tcW w:w="529"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523</w:t>
            </w:r>
          </w:p>
        </w:tc>
        <w:tc>
          <w:tcPr>
            <w:tcW w:w="526"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46</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1 106</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2 080</w:t>
            </w:r>
          </w:p>
        </w:tc>
        <w:tc>
          <w:tcPr>
            <w:tcW w:w="518"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983</w:t>
            </w:r>
          </w:p>
        </w:tc>
      </w:tr>
      <w:tr w:rsidR="00510757" w:rsidRPr="00510757" w:rsidTr="00A27BE6">
        <w:trPr>
          <w:trHeight w:val="283"/>
        </w:trPr>
        <w:tc>
          <w:tcPr>
            <w:tcW w:w="884" w:type="pct"/>
            <w:shd w:val="clear" w:color="auto" w:fill="auto"/>
            <w:vAlign w:val="center"/>
            <w:hideMark/>
          </w:tcPr>
          <w:p w:rsidR="00510757" w:rsidRPr="00510757" w:rsidRDefault="00510757" w:rsidP="00510757">
            <w:pPr>
              <w:spacing w:before="0" w:after="0" w:line="240" w:lineRule="auto"/>
              <w:ind w:firstLineChars="100" w:firstLine="160"/>
              <w:jc w:val="lef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Kraslice</w:t>
            </w:r>
          </w:p>
        </w:tc>
        <w:tc>
          <w:tcPr>
            <w:tcW w:w="44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13 155</w:t>
            </w:r>
          </w:p>
        </w:tc>
        <w:tc>
          <w:tcPr>
            <w:tcW w:w="524"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12 640</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65</w:t>
            </w:r>
          </w:p>
        </w:tc>
        <w:tc>
          <w:tcPr>
            <w:tcW w:w="529"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49</w:t>
            </w:r>
          </w:p>
        </w:tc>
        <w:tc>
          <w:tcPr>
            <w:tcW w:w="526"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16</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67</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8</w:t>
            </w:r>
          </w:p>
        </w:tc>
        <w:tc>
          <w:tcPr>
            <w:tcW w:w="518"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139</w:t>
            </w:r>
          </w:p>
        </w:tc>
      </w:tr>
      <w:tr w:rsidR="00510757" w:rsidRPr="00510757" w:rsidTr="00A27BE6">
        <w:trPr>
          <w:trHeight w:val="283"/>
        </w:trPr>
        <w:tc>
          <w:tcPr>
            <w:tcW w:w="884" w:type="pct"/>
            <w:shd w:val="clear" w:color="auto" w:fill="auto"/>
            <w:vAlign w:val="center"/>
            <w:hideMark/>
          </w:tcPr>
          <w:p w:rsidR="00510757" w:rsidRPr="00510757" w:rsidRDefault="00510757" w:rsidP="00510757">
            <w:pPr>
              <w:spacing w:before="0" w:after="0" w:line="240" w:lineRule="auto"/>
              <w:ind w:firstLineChars="100" w:firstLine="160"/>
              <w:jc w:val="lef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Mariánské Lázně</w:t>
            </w:r>
          </w:p>
        </w:tc>
        <w:tc>
          <w:tcPr>
            <w:tcW w:w="44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23 451</w:t>
            </w:r>
          </w:p>
        </w:tc>
        <w:tc>
          <w:tcPr>
            <w:tcW w:w="524"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22 174</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157</w:t>
            </w:r>
          </w:p>
        </w:tc>
        <w:tc>
          <w:tcPr>
            <w:tcW w:w="529"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84</w:t>
            </w:r>
          </w:p>
        </w:tc>
        <w:tc>
          <w:tcPr>
            <w:tcW w:w="526"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16</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219</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196</w:t>
            </w:r>
          </w:p>
        </w:tc>
        <w:tc>
          <w:tcPr>
            <w:tcW w:w="518"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132</w:t>
            </w:r>
          </w:p>
        </w:tc>
      </w:tr>
      <w:tr w:rsidR="00510757" w:rsidRPr="00510757" w:rsidTr="00A27BE6">
        <w:trPr>
          <w:trHeight w:val="283"/>
        </w:trPr>
        <w:tc>
          <w:tcPr>
            <w:tcW w:w="884" w:type="pct"/>
            <w:shd w:val="clear" w:color="auto" w:fill="auto"/>
            <w:vAlign w:val="center"/>
            <w:hideMark/>
          </w:tcPr>
          <w:p w:rsidR="00510757" w:rsidRPr="00510757" w:rsidRDefault="00510757" w:rsidP="00510757">
            <w:pPr>
              <w:spacing w:before="0" w:after="0" w:line="240" w:lineRule="auto"/>
              <w:ind w:firstLineChars="100" w:firstLine="160"/>
              <w:jc w:val="lef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Ostrov</w:t>
            </w:r>
          </w:p>
        </w:tc>
        <w:tc>
          <w:tcPr>
            <w:tcW w:w="44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29 152</w:t>
            </w:r>
          </w:p>
        </w:tc>
        <w:tc>
          <w:tcPr>
            <w:tcW w:w="524"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26 737</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180</w:t>
            </w:r>
          </w:p>
        </w:tc>
        <w:tc>
          <w:tcPr>
            <w:tcW w:w="529"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315</w:t>
            </w:r>
          </w:p>
        </w:tc>
        <w:tc>
          <w:tcPr>
            <w:tcW w:w="526"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34</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118</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115</w:t>
            </w:r>
          </w:p>
        </w:tc>
        <w:tc>
          <w:tcPr>
            <w:tcW w:w="518"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1 103</w:t>
            </w:r>
          </w:p>
        </w:tc>
      </w:tr>
      <w:tr w:rsidR="00510757" w:rsidRPr="00510757" w:rsidTr="00A27BE6">
        <w:trPr>
          <w:trHeight w:val="283"/>
        </w:trPr>
        <w:tc>
          <w:tcPr>
            <w:tcW w:w="884" w:type="pct"/>
            <w:shd w:val="clear" w:color="auto" w:fill="auto"/>
            <w:vAlign w:val="center"/>
            <w:hideMark/>
          </w:tcPr>
          <w:p w:rsidR="00510757" w:rsidRPr="00510757" w:rsidRDefault="00510757" w:rsidP="00510757">
            <w:pPr>
              <w:spacing w:before="0" w:after="0" w:line="240" w:lineRule="auto"/>
              <w:ind w:firstLineChars="100" w:firstLine="160"/>
              <w:jc w:val="lef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Sokolov</w:t>
            </w:r>
          </w:p>
        </w:tc>
        <w:tc>
          <w:tcPr>
            <w:tcW w:w="44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76 806</w:t>
            </w:r>
          </w:p>
        </w:tc>
        <w:tc>
          <w:tcPr>
            <w:tcW w:w="524"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74 172</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401</w:t>
            </w:r>
          </w:p>
        </w:tc>
        <w:tc>
          <w:tcPr>
            <w:tcW w:w="529"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535</w:t>
            </w:r>
          </w:p>
        </w:tc>
        <w:tc>
          <w:tcPr>
            <w:tcW w:w="526"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45</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201</w:t>
            </w:r>
          </w:p>
        </w:tc>
        <w:tc>
          <w:tcPr>
            <w:tcW w:w="525"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115</w:t>
            </w:r>
          </w:p>
        </w:tc>
        <w:tc>
          <w:tcPr>
            <w:tcW w:w="518" w:type="pct"/>
            <w:shd w:val="clear" w:color="auto" w:fill="auto"/>
            <w:vAlign w:val="center"/>
            <w:hideMark/>
          </w:tcPr>
          <w:p w:rsidR="00510757" w:rsidRPr="00510757" w:rsidRDefault="00510757" w:rsidP="00510757">
            <w:pPr>
              <w:spacing w:before="0" w:after="0" w:line="240" w:lineRule="auto"/>
              <w:jc w:val="right"/>
              <w:rPr>
                <w:rFonts w:asciiTheme="minorHAnsi" w:eastAsia="Times New Roman" w:hAnsiTheme="minorHAnsi" w:cs="Arial"/>
                <w:spacing w:val="0"/>
                <w:sz w:val="16"/>
                <w:szCs w:val="16"/>
                <w:lang w:eastAsia="cs-CZ" w:bidi="ar-SA"/>
              </w:rPr>
            </w:pPr>
            <w:r w:rsidRPr="00510757">
              <w:rPr>
                <w:rFonts w:asciiTheme="minorHAnsi" w:eastAsia="Times New Roman" w:hAnsiTheme="minorHAnsi" w:cs="Arial"/>
                <w:spacing w:val="0"/>
                <w:sz w:val="16"/>
                <w:szCs w:val="16"/>
                <w:lang w:eastAsia="cs-CZ" w:bidi="ar-SA"/>
              </w:rPr>
              <w:t>453</w:t>
            </w:r>
          </w:p>
        </w:tc>
      </w:tr>
    </w:tbl>
    <w:p w:rsidR="00283AF8" w:rsidRPr="00985719" w:rsidRDefault="00283AF8" w:rsidP="00283AF8">
      <w:pPr>
        <w:spacing w:before="0" w:after="120"/>
        <w:rPr>
          <w:rFonts w:asciiTheme="majorHAnsi" w:hAnsiTheme="majorHAnsi"/>
          <w:sz w:val="16"/>
          <w:szCs w:val="16"/>
        </w:rPr>
      </w:pPr>
      <w:r w:rsidRPr="00985719">
        <w:rPr>
          <w:rFonts w:asciiTheme="majorHAnsi" w:hAnsiTheme="majorHAnsi"/>
          <w:sz w:val="16"/>
          <w:szCs w:val="16"/>
        </w:rPr>
        <w:t xml:space="preserve">Zdroj: SLDB 2011 </w:t>
      </w:r>
    </w:p>
    <w:p w:rsidR="00283AF8" w:rsidRDefault="00283AF8">
      <w:pPr>
        <w:spacing w:before="0" w:after="0" w:line="240" w:lineRule="auto"/>
        <w:jc w:val="left"/>
        <w:rPr>
          <w:rFonts w:cs="Arial-ItalicMT"/>
          <w:b/>
          <w:bCs/>
          <w:iCs/>
          <w:color w:val="372C74"/>
          <w:spacing w:val="10"/>
          <w:sz w:val="18"/>
          <w:szCs w:val="22"/>
        </w:rPr>
      </w:pPr>
    </w:p>
    <w:p w:rsidR="0008590C" w:rsidRDefault="0008590C">
      <w:pPr>
        <w:spacing w:before="0" w:after="0" w:line="240" w:lineRule="auto"/>
        <w:jc w:val="left"/>
        <w:rPr>
          <w:rFonts w:cs="Arial-ItalicMT"/>
          <w:b/>
          <w:bCs/>
          <w:iCs/>
          <w:color w:val="372C74"/>
          <w:spacing w:val="10"/>
          <w:sz w:val="18"/>
          <w:szCs w:val="22"/>
        </w:rPr>
      </w:pPr>
    </w:p>
    <w:p w:rsidR="0022401B" w:rsidRPr="00F42013" w:rsidRDefault="0022401B" w:rsidP="00337E0A">
      <w:pPr>
        <w:spacing w:before="0" w:after="0" w:line="240" w:lineRule="auto"/>
        <w:rPr>
          <w:rFonts w:asciiTheme="majorHAnsi" w:hAnsiTheme="majorHAnsi"/>
          <w:sz w:val="18"/>
          <w:szCs w:val="18"/>
        </w:rPr>
      </w:pPr>
      <w:bookmarkStart w:id="63" w:name="_Toc516058984"/>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19</w:t>
      </w:r>
      <w:r w:rsidR="005B55A2" w:rsidRPr="00F42013">
        <w:rPr>
          <w:rFonts w:cs="Arial-ItalicMT"/>
          <w:b/>
          <w:bCs/>
          <w:iCs/>
          <w:color w:val="372C74"/>
          <w:spacing w:val="10"/>
          <w:sz w:val="18"/>
          <w:szCs w:val="22"/>
        </w:rPr>
        <w:fldChar w:fldCharType="end"/>
      </w:r>
      <w:r w:rsidRPr="00F42013">
        <w:rPr>
          <w:rFonts w:cs="Arial-ItalicMT"/>
          <w:iCs/>
          <w:sz w:val="18"/>
          <w:szCs w:val="18"/>
        </w:rPr>
        <w:t xml:space="preserve"> - </w:t>
      </w:r>
      <w:r w:rsidRPr="0022401B">
        <w:rPr>
          <w:rFonts w:asciiTheme="majorHAnsi" w:hAnsiTheme="majorHAnsi"/>
          <w:sz w:val="18"/>
          <w:szCs w:val="18"/>
        </w:rPr>
        <w:t>Cizinci ve správních obvodech ORP a krajích</w:t>
      </w:r>
      <w:r w:rsidR="00852B8C">
        <w:rPr>
          <w:rFonts w:asciiTheme="majorHAnsi" w:hAnsiTheme="majorHAnsi"/>
          <w:sz w:val="18"/>
          <w:szCs w:val="18"/>
        </w:rPr>
        <w:t xml:space="preserve"> - kartogram</w:t>
      </w:r>
      <w:bookmarkEnd w:id="63"/>
    </w:p>
    <w:p w:rsidR="00A80F39" w:rsidRPr="00985719" w:rsidRDefault="00A80F39" w:rsidP="00337E0A">
      <w:pPr>
        <w:spacing w:before="0" w:after="0" w:line="240" w:lineRule="auto"/>
        <w:jc w:val="center"/>
        <w:rPr>
          <w:rFonts w:asciiTheme="majorHAnsi" w:hAnsiTheme="majorHAnsi"/>
        </w:rPr>
      </w:pPr>
      <w:r w:rsidRPr="00985719">
        <w:rPr>
          <w:rFonts w:asciiTheme="majorHAnsi" w:hAnsiTheme="majorHAnsi"/>
          <w:noProof/>
          <w:lang w:eastAsia="cs-CZ" w:bidi="ar-SA"/>
        </w:rPr>
        <w:drawing>
          <wp:inline distT="0" distB="0" distL="0" distR="0">
            <wp:extent cx="3790962" cy="2688336"/>
            <wp:effectExtent l="19050" t="0" r="0" b="0"/>
            <wp:docPr id="21" name="Picture 21" descr="APPLE HDD:Users:stepankodera:RegioPartner, s.r.o.:2013:006 - Uherský Brod:002 - Analytická část:podklady:mapy a kartogramy:ciz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PPLE HDD:Users:stepankodera:RegioPartner, s.r.o.:2013:006 - Uherský Brod:002 - Analytická část:podklady:mapy a kartogramy:cizinci.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92418" cy="2689369"/>
                    </a:xfrm>
                    <a:prstGeom prst="rect">
                      <a:avLst/>
                    </a:prstGeom>
                    <a:noFill/>
                    <a:ln>
                      <a:noFill/>
                    </a:ln>
                  </pic:spPr>
                </pic:pic>
              </a:graphicData>
            </a:graphic>
          </wp:inline>
        </w:drawing>
      </w:r>
    </w:p>
    <w:p w:rsidR="0022401B" w:rsidRPr="00985719" w:rsidRDefault="0022401B" w:rsidP="0022401B">
      <w:pPr>
        <w:rPr>
          <w:rFonts w:asciiTheme="majorHAnsi" w:hAnsiTheme="majorHAnsi"/>
        </w:rPr>
      </w:pPr>
      <w:r w:rsidRPr="00985719">
        <w:rPr>
          <w:rFonts w:asciiTheme="majorHAnsi" w:hAnsiTheme="majorHAnsi"/>
        </w:rPr>
        <w:t>Ani v porovnání s ostatními SO ORP v</w:t>
      </w:r>
      <w:r w:rsidR="00283AF8">
        <w:rPr>
          <w:rFonts w:asciiTheme="majorHAnsi" w:hAnsiTheme="majorHAnsi"/>
        </w:rPr>
        <w:t> severozápadní části</w:t>
      </w:r>
      <w:r w:rsidRPr="00985719">
        <w:rPr>
          <w:rFonts w:asciiTheme="majorHAnsi" w:hAnsiTheme="majorHAnsi"/>
        </w:rPr>
        <w:t xml:space="preserve"> republiky nejeví sledované území výraznou odchylkou, ba naopak lze konstatovat, že svým charakterem podílu cizinců na celkovém počtu obyvatel kopíruje okolní regiony. </w:t>
      </w:r>
      <w:r w:rsidR="00283AF8">
        <w:rPr>
          <w:rFonts w:asciiTheme="majorHAnsi" w:hAnsiTheme="majorHAnsi"/>
        </w:rPr>
        <w:t>Celkově však je podíl cizinců v Karlovarském kraji spolu s Prahou největší.</w:t>
      </w:r>
    </w:p>
    <w:p w:rsidR="00252831" w:rsidRPr="00252831" w:rsidRDefault="00252831" w:rsidP="00252831">
      <w:pPr>
        <w:pStyle w:val="Nadpis6"/>
        <w:rPr>
          <w:rFonts w:asciiTheme="majorHAnsi" w:hAnsiTheme="majorHAnsi"/>
        </w:rPr>
      </w:pPr>
      <w:r w:rsidRPr="00252831">
        <w:rPr>
          <w:rFonts w:asciiTheme="majorHAnsi" w:hAnsiTheme="majorHAnsi"/>
        </w:rPr>
        <w:t>Sociálně slabé skupiny</w:t>
      </w:r>
    </w:p>
    <w:p w:rsidR="00A81E24" w:rsidRDefault="00A81E24" w:rsidP="00445857">
      <w:pPr>
        <w:rPr>
          <w:rFonts w:asciiTheme="majorHAnsi" w:hAnsiTheme="majorHAnsi"/>
        </w:rPr>
      </w:pPr>
      <w:r>
        <w:rPr>
          <w:rFonts w:asciiTheme="majorHAnsi" w:hAnsiTheme="majorHAnsi"/>
        </w:rPr>
        <w:t xml:space="preserve">Zatím co v roce 2006 byla v SO ORP Ostrov identifikována jediná ze </w:t>
      </w:r>
      <w:r w:rsidR="00414B92">
        <w:rPr>
          <w:rFonts w:asciiTheme="majorHAnsi" w:hAnsiTheme="majorHAnsi"/>
        </w:rPr>
        <w:t>13 obcí se sociálně vyloučenou lokalitou v Karlovarském kraji (Jáchymov)</w:t>
      </w:r>
      <w:r w:rsidR="00414B92">
        <w:rPr>
          <w:rStyle w:val="Znakapoznpodarou"/>
          <w:rFonts w:asciiTheme="majorHAnsi" w:hAnsiTheme="majorHAnsi"/>
        </w:rPr>
        <w:footnoteReference w:id="9"/>
      </w:r>
      <w:r w:rsidR="00414B92">
        <w:rPr>
          <w:rFonts w:asciiTheme="majorHAnsi" w:hAnsiTheme="majorHAnsi"/>
        </w:rPr>
        <w:t>, tak v rove 2012 již bylo identifikováno v Karlovarském kraji dalších 18 obcí se sociálně vyloučenou lokalitou, mezi jinými i Ostrov</w:t>
      </w:r>
      <w:r w:rsidR="00414B92">
        <w:rPr>
          <w:rStyle w:val="Znakapoznpodarou"/>
          <w:rFonts w:asciiTheme="majorHAnsi" w:hAnsiTheme="majorHAnsi"/>
        </w:rPr>
        <w:footnoteReference w:id="10"/>
      </w:r>
      <w:r w:rsidR="00020988">
        <w:rPr>
          <w:rFonts w:asciiTheme="majorHAnsi" w:hAnsiTheme="majorHAnsi"/>
        </w:rPr>
        <w:t>.</w:t>
      </w:r>
      <w:r w:rsidR="00163B11">
        <w:rPr>
          <w:rFonts w:asciiTheme="majorHAnsi" w:hAnsiTheme="majorHAnsi"/>
        </w:rPr>
        <w:t xml:space="preserve"> Je však třeba dodat, že identifikace a stanovení nových tzv. sociálně vyloučených lokalit je dáno změnou metodiky a štědrými dotačními tituly pro řešení problémů v SVL.</w:t>
      </w:r>
      <w:r w:rsidR="00445857">
        <w:rPr>
          <w:rFonts w:asciiTheme="majorHAnsi" w:hAnsiTheme="majorHAnsi"/>
        </w:rPr>
        <w:t xml:space="preserve"> Přitom se problematika sociálně vyloučených lokalit netýká jen </w:t>
      </w:r>
      <w:r w:rsidR="003D78A5">
        <w:rPr>
          <w:rFonts w:asciiTheme="majorHAnsi" w:hAnsiTheme="majorHAnsi"/>
        </w:rPr>
        <w:t>Ro</w:t>
      </w:r>
      <w:r w:rsidR="00445857">
        <w:rPr>
          <w:rFonts w:asciiTheme="majorHAnsi" w:hAnsiTheme="majorHAnsi"/>
        </w:rPr>
        <w:t xml:space="preserve">mů, ale </w:t>
      </w:r>
      <w:r w:rsidR="003D035A">
        <w:rPr>
          <w:rFonts w:asciiTheme="majorHAnsi" w:hAnsiTheme="majorHAnsi"/>
        </w:rPr>
        <w:t xml:space="preserve">je spojena i </w:t>
      </w:r>
      <w:r w:rsidR="00445857" w:rsidRPr="00445857">
        <w:rPr>
          <w:rFonts w:asciiTheme="majorHAnsi" w:hAnsiTheme="majorHAnsi"/>
        </w:rPr>
        <w:t>s problémem propuštěných vězňů, kteří v obci zůstávají a nemají uplatnění na trhu práce</w:t>
      </w:r>
      <w:r w:rsidR="003D035A">
        <w:rPr>
          <w:rFonts w:asciiTheme="majorHAnsi" w:hAnsiTheme="majorHAnsi"/>
        </w:rPr>
        <w:t>,</w:t>
      </w:r>
      <w:r w:rsidR="00445857" w:rsidRPr="00445857">
        <w:rPr>
          <w:rFonts w:asciiTheme="majorHAnsi" w:hAnsiTheme="majorHAnsi"/>
        </w:rPr>
        <w:t xml:space="preserve"> </w:t>
      </w:r>
      <w:r w:rsidR="003D035A">
        <w:rPr>
          <w:rFonts w:asciiTheme="majorHAnsi" w:hAnsiTheme="majorHAnsi"/>
        </w:rPr>
        <w:t>navazujícím</w:t>
      </w:r>
      <w:r w:rsidR="00445857" w:rsidRPr="00445857">
        <w:rPr>
          <w:rFonts w:asciiTheme="majorHAnsi" w:hAnsiTheme="majorHAnsi"/>
        </w:rPr>
        <w:t xml:space="preserve"> problémem rozšířeného užívání drog, prostituce</w:t>
      </w:r>
      <w:r w:rsidR="003D035A">
        <w:rPr>
          <w:rFonts w:asciiTheme="majorHAnsi" w:hAnsiTheme="majorHAnsi"/>
        </w:rPr>
        <w:t xml:space="preserve"> a v neposlední řadě</w:t>
      </w:r>
      <w:r w:rsidR="00445857" w:rsidRPr="00445857">
        <w:rPr>
          <w:rFonts w:asciiTheme="majorHAnsi" w:hAnsiTheme="majorHAnsi"/>
        </w:rPr>
        <w:t xml:space="preserve"> s větším zastoupením lidí bez domova</w:t>
      </w:r>
      <w:r w:rsidR="003D035A">
        <w:rPr>
          <w:rFonts w:asciiTheme="majorHAnsi" w:hAnsiTheme="majorHAnsi"/>
        </w:rPr>
        <w:t>.</w:t>
      </w:r>
      <w:r w:rsidR="0066705F">
        <w:rPr>
          <w:rFonts w:asciiTheme="majorHAnsi" w:hAnsiTheme="majorHAnsi"/>
        </w:rPr>
        <w:t xml:space="preserve"> </w:t>
      </w:r>
    </w:p>
    <w:p w:rsidR="00020988" w:rsidRDefault="00020988" w:rsidP="004312E6">
      <w:pPr>
        <w:rPr>
          <w:rFonts w:asciiTheme="majorHAnsi" w:hAnsiTheme="majorHAnsi"/>
        </w:rPr>
      </w:pPr>
      <w:r>
        <w:rPr>
          <w:rFonts w:asciiTheme="majorHAnsi" w:hAnsiTheme="majorHAnsi"/>
        </w:rPr>
        <w:t xml:space="preserve">I když lze diskutovat o tom, zda koncentrace sociálně slabých obyvatel v ubytovně zakládá termín sociálně vyloučená lokalita, je nezbytné danou situaci v strategickém </w:t>
      </w:r>
      <w:r w:rsidR="00445857">
        <w:rPr>
          <w:rFonts w:asciiTheme="majorHAnsi" w:hAnsiTheme="majorHAnsi"/>
        </w:rPr>
        <w:t>rozvoji města zohledni</w:t>
      </w:r>
      <w:r w:rsidR="003D035A">
        <w:rPr>
          <w:rFonts w:asciiTheme="majorHAnsi" w:hAnsiTheme="majorHAnsi"/>
        </w:rPr>
        <w:t>t. Za </w:t>
      </w:r>
      <w:r w:rsidR="00445857">
        <w:rPr>
          <w:rFonts w:asciiTheme="majorHAnsi" w:hAnsiTheme="majorHAnsi"/>
        </w:rPr>
        <w:t xml:space="preserve"> základní atributy obyvatel sociálně vyloučených lokalit lze označit:</w:t>
      </w:r>
    </w:p>
    <w:p w:rsidR="00445857" w:rsidRDefault="00445857" w:rsidP="006164A0">
      <w:pPr>
        <w:pStyle w:val="Odstavecseseznamem"/>
        <w:numPr>
          <w:ilvl w:val="0"/>
          <w:numId w:val="6"/>
        </w:numPr>
        <w:rPr>
          <w:rFonts w:asciiTheme="majorHAnsi" w:hAnsiTheme="majorHAnsi"/>
        </w:rPr>
      </w:pPr>
      <w:r>
        <w:rPr>
          <w:rFonts w:asciiTheme="majorHAnsi" w:hAnsiTheme="majorHAnsi"/>
        </w:rPr>
        <w:t>bydlení</w:t>
      </w:r>
    </w:p>
    <w:p w:rsidR="00445857" w:rsidRDefault="00445857" w:rsidP="006164A0">
      <w:pPr>
        <w:pStyle w:val="Odstavecseseznamem"/>
        <w:numPr>
          <w:ilvl w:val="0"/>
          <w:numId w:val="6"/>
        </w:numPr>
        <w:rPr>
          <w:rFonts w:asciiTheme="majorHAnsi" w:hAnsiTheme="majorHAnsi"/>
        </w:rPr>
      </w:pPr>
      <w:r>
        <w:rPr>
          <w:rFonts w:asciiTheme="majorHAnsi" w:hAnsiTheme="majorHAnsi"/>
        </w:rPr>
        <w:t>zaměstnanost</w:t>
      </w:r>
    </w:p>
    <w:p w:rsidR="00445857" w:rsidRPr="00445857" w:rsidRDefault="00445857" w:rsidP="006164A0">
      <w:pPr>
        <w:pStyle w:val="Odstavecseseznamem"/>
        <w:numPr>
          <w:ilvl w:val="0"/>
          <w:numId w:val="6"/>
        </w:numPr>
        <w:rPr>
          <w:rFonts w:asciiTheme="majorHAnsi" w:hAnsiTheme="majorHAnsi"/>
        </w:rPr>
      </w:pPr>
      <w:r>
        <w:rPr>
          <w:rFonts w:asciiTheme="majorHAnsi" w:hAnsiTheme="majorHAnsi"/>
        </w:rPr>
        <w:t>dluhy</w:t>
      </w:r>
    </w:p>
    <w:p w:rsidR="00090324" w:rsidRDefault="00445857" w:rsidP="004312E6">
      <w:pPr>
        <w:rPr>
          <w:rFonts w:asciiTheme="majorHAnsi" w:hAnsiTheme="majorHAnsi"/>
        </w:rPr>
      </w:pPr>
      <w:r>
        <w:rPr>
          <w:rFonts w:asciiTheme="majorHAnsi" w:hAnsiTheme="majorHAnsi"/>
        </w:rPr>
        <w:lastRenderedPageBreak/>
        <w:t>V oblasti bydlení není neobvyklé, že vlastní</w:t>
      </w:r>
      <w:r w:rsidR="003D78A5">
        <w:rPr>
          <w:rFonts w:asciiTheme="majorHAnsi" w:hAnsiTheme="majorHAnsi"/>
        </w:rPr>
        <w:t>ci</w:t>
      </w:r>
      <w:r>
        <w:rPr>
          <w:rFonts w:asciiTheme="majorHAnsi" w:hAnsiTheme="majorHAnsi"/>
        </w:rPr>
        <w:t xml:space="preserve"> pronajímané nemovitosti ve městě vůbec nebydlí a s nemovitostí „podniká“ na dálku. Výše nájemného pak neúnosně eskaluje.</w:t>
      </w:r>
      <w:r w:rsidR="003D035A">
        <w:rPr>
          <w:rFonts w:asciiTheme="majorHAnsi" w:hAnsiTheme="majorHAnsi"/>
        </w:rPr>
        <w:t xml:space="preserve"> Ve městě je provozováno</w:t>
      </w:r>
      <w:r w:rsidR="003D035A" w:rsidRPr="003D035A">
        <w:rPr>
          <w:rFonts w:asciiTheme="majorHAnsi" w:hAnsiTheme="majorHAnsi"/>
        </w:rPr>
        <w:t xml:space="preserve"> šest ubytoven v rukou soukromých vlastníků </w:t>
      </w:r>
      <w:r w:rsidR="00090324">
        <w:rPr>
          <w:rFonts w:asciiTheme="majorHAnsi" w:hAnsiTheme="majorHAnsi"/>
        </w:rPr>
        <w:t xml:space="preserve">a v </w:t>
      </w:r>
      <w:r w:rsidR="003D035A" w:rsidRPr="003D035A">
        <w:rPr>
          <w:rFonts w:asciiTheme="majorHAnsi" w:hAnsiTheme="majorHAnsi"/>
        </w:rPr>
        <w:t>každém typu ubytovny či jiného zařízení žije průměrně 30 - 50 lidí (z velké části Romů)</w:t>
      </w:r>
      <w:r w:rsidR="00090324">
        <w:rPr>
          <w:rFonts w:asciiTheme="majorHAnsi" w:hAnsiTheme="majorHAnsi"/>
        </w:rPr>
        <w:t>.</w:t>
      </w:r>
      <w:r w:rsidR="003D035A" w:rsidRPr="003D035A">
        <w:rPr>
          <w:rFonts w:asciiTheme="majorHAnsi" w:hAnsiTheme="majorHAnsi"/>
        </w:rPr>
        <w:t xml:space="preserve"> </w:t>
      </w:r>
      <w:r w:rsidR="00090324">
        <w:rPr>
          <w:rFonts w:asciiTheme="majorHAnsi" w:hAnsiTheme="majorHAnsi"/>
        </w:rPr>
        <w:t>Město Ostrov provozuje</w:t>
      </w:r>
      <w:r w:rsidR="003D035A" w:rsidRPr="003D035A">
        <w:rPr>
          <w:rFonts w:asciiTheme="majorHAnsi" w:hAnsiTheme="majorHAnsi"/>
        </w:rPr>
        <w:t xml:space="preserve"> tři ubytovací zařízení (tzv. levné bydlení). V </w:t>
      </w:r>
      <w:r w:rsidR="00090324">
        <w:rPr>
          <w:rFonts w:asciiTheme="majorHAnsi" w:hAnsiTheme="majorHAnsi"/>
        </w:rPr>
        <w:t>těchto</w:t>
      </w:r>
      <w:r w:rsidR="003D035A" w:rsidRPr="003D035A">
        <w:rPr>
          <w:rFonts w:asciiTheme="majorHAnsi" w:hAnsiTheme="majorHAnsi"/>
        </w:rPr>
        <w:t xml:space="preserve"> levných městských bytech žije cca 150 lidí (převážně Romů). </w:t>
      </w:r>
      <w:r w:rsidR="00090324">
        <w:rPr>
          <w:rFonts w:asciiTheme="majorHAnsi" w:hAnsiTheme="majorHAnsi"/>
        </w:rPr>
        <w:t>Počet r</w:t>
      </w:r>
      <w:r w:rsidR="0094642F">
        <w:rPr>
          <w:rFonts w:asciiTheme="majorHAnsi" w:hAnsiTheme="majorHAnsi"/>
        </w:rPr>
        <w:t>o</w:t>
      </w:r>
      <w:r w:rsidR="00090324">
        <w:rPr>
          <w:rFonts w:asciiTheme="majorHAnsi" w:hAnsiTheme="majorHAnsi"/>
        </w:rPr>
        <w:t>mských obyvatel Ostrova výrazně překračuje údaje SLDB 2011 a odhaduje se na cca 700 osob</w:t>
      </w:r>
      <w:r w:rsidR="00090324">
        <w:rPr>
          <w:rStyle w:val="Znakapoznpodarou"/>
          <w:rFonts w:asciiTheme="majorHAnsi" w:hAnsiTheme="majorHAnsi"/>
        </w:rPr>
        <w:footnoteReference w:id="11"/>
      </w:r>
      <w:r w:rsidR="00090324">
        <w:rPr>
          <w:rFonts w:asciiTheme="majorHAnsi" w:hAnsiTheme="majorHAnsi"/>
        </w:rPr>
        <w:t>.</w:t>
      </w:r>
    </w:p>
    <w:p w:rsidR="004312E6" w:rsidRDefault="00252831" w:rsidP="004312E6">
      <w:pPr>
        <w:rPr>
          <w:rFonts w:asciiTheme="majorHAnsi" w:hAnsiTheme="majorHAnsi"/>
        </w:rPr>
      </w:pPr>
      <w:r w:rsidRPr="00252831">
        <w:rPr>
          <w:rFonts w:asciiTheme="majorHAnsi" w:hAnsiTheme="majorHAnsi"/>
        </w:rPr>
        <w:t>Míra nezaměstnanosti v</w:t>
      </w:r>
      <w:r w:rsidR="00386D55">
        <w:rPr>
          <w:rFonts w:asciiTheme="majorHAnsi" w:hAnsiTheme="majorHAnsi"/>
        </w:rPr>
        <w:t> sociálně vyloučených skupinách</w:t>
      </w:r>
      <w:r w:rsidRPr="00252831">
        <w:rPr>
          <w:rFonts w:asciiTheme="majorHAnsi" w:hAnsiTheme="majorHAnsi"/>
        </w:rPr>
        <w:t xml:space="preserve"> </w:t>
      </w:r>
      <w:r w:rsidR="00386D55">
        <w:rPr>
          <w:rFonts w:asciiTheme="majorHAnsi" w:hAnsiTheme="majorHAnsi"/>
        </w:rPr>
        <w:t>dosahuje až</w:t>
      </w:r>
      <w:r w:rsidRPr="00252831">
        <w:rPr>
          <w:rFonts w:asciiTheme="majorHAnsi" w:hAnsiTheme="majorHAnsi"/>
        </w:rPr>
        <w:t xml:space="preserve"> 90</w:t>
      </w:r>
      <w:r w:rsidR="00852B8C">
        <w:rPr>
          <w:rFonts w:asciiTheme="majorHAnsi" w:hAnsiTheme="majorHAnsi"/>
        </w:rPr>
        <w:t xml:space="preserve"> </w:t>
      </w:r>
      <w:r w:rsidRPr="00252831">
        <w:rPr>
          <w:rFonts w:asciiTheme="majorHAnsi" w:hAnsiTheme="majorHAnsi"/>
        </w:rPr>
        <w:t xml:space="preserve">%. Mezi bariéry bránící v uplatnění na trhu práce patří nízká kvalifikace a praxe, absolventů je mizivé procento, neboť studium většinou nedokončí. Na úřadech práce se provádí rekvalifikace, ale jen u vyučených. Účast na společensky účelných pracovních místech a veřejně prospěšných pracích je nízká. Odmítají je z důvodu nedokončeného základního vzdělání, z obavy z neúspěchu v kurzu atd. </w:t>
      </w:r>
    </w:p>
    <w:p w:rsidR="0084391E" w:rsidRDefault="00B50239" w:rsidP="00E70148">
      <w:pPr>
        <w:spacing w:before="0" w:after="0"/>
        <w:rPr>
          <w:rFonts w:asciiTheme="majorHAnsi" w:hAnsiTheme="majorHAnsi"/>
        </w:rPr>
      </w:pPr>
      <w:r>
        <w:rPr>
          <w:rFonts w:asciiTheme="majorHAnsi" w:hAnsiTheme="majorHAnsi"/>
        </w:rPr>
        <w:t xml:space="preserve">Problémem jsou obecně i </w:t>
      </w:r>
      <w:r w:rsidR="00E70148" w:rsidRPr="00E70148">
        <w:rPr>
          <w:rFonts w:asciiTheme="majorHAnsi" w:hAnsiTheme="majorHAnsi"/>
        </w:rPr>
        <w:t>dlu</w:t>
      </w:r>
      <w:r>
        <w:rPr>
          <w:rFonts w:asciiTheme="majorHAnsi" w:hAnsiTheme="majorHAnsi"/>
        </w:rPr>
        <w:t xml:space="preserve">hy, které </w:t>
      </w:r>
      <w:r w:rsidR="00E70148">
        <w:rPr>
          <w:rFonts w:asciiTheme="majorHAnsi" w:hAnsiTheme="majorHAnsi"/>
        </w:rPr>
        <w:t xml:space="preserve">mají </w:t>
      </w:r>
      <w:r w:rsidR="00386D55">
        <w:rPr>
          <w:rFonts w:asciiTheme="majorHAnsi" w:hAnsiTheme="majorHAnsi"/>
        </w:rPr>
        <w:t>sociálně slabé skupiny</w:t>
      </w:r>
      <w:r w:rsidR="00E70148">
        <w:rPr>
          <w:rFonts w:asciiTheme="majorHAnsi" w:hAnsiTheme="majorHAnsi"/>
        </w:rPr>
        <w:t xml:space="preserve"> na nájmech i služ</w:t>
      </w:r>
      <w:r w:rsidR="00E70148" w:rsidRPr="00E70148">
        <w:rPr>
          <w:rFonts w:asciiTheme="majorHAnsi" w:hAnsiTheme="majorHAnsi"/>
        </w:rPr>
        <w:t xml:space="preserve">bách. Přes domluvené splátkové kalendáře nejsou dluhy pravidelně spláceny. </w:t>
      </w:r>
    </w:p>
    <w:p w:rsidR="00163B11" w:rsidRDefault="00163B11" w:rsidP="00E70148">
      <w:pPr>
        <w:spacing w:before="0" w:after="0"/>
        <w:rPr>
          <w:rFonts w:asciiTheme="majorHAnsi" w:hAnsiTheme="majorHAnsi"/>
        </w:rPr>
      </w:pPr>
    </w:p>
    <w:p w:rsidR="00283AF8" w:rsidRDefault="00283AF8"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B16F4B" w:rsidRDefault="00B16F4B" w:rsidP="00E70148">
      <w:pPr>
        <w:spacing w:before="0" w:after="0"/>
        <w:rPr>
          <w:rFonts w:asciiTheme="majorHAnsi" w:hAnsiTheme="majorHAnsi"/>
        </w:rPr>
      </w:pPr>
    </w:p>
    <w:p w:rsidR="00283AF8" w:rsidRDefault="00283AF8" w:rsidP="00E70148">
      <w:pPr>
        <w:spacing w:before="0" w:after="0"/>
        <w:rPr>
          <w:rFonts w:asciiTheme="majorHAnsi" w:hAnsiTheme="majorHAnsi"/>
        </w:rPr>
      </w:pPr>
    </w:p>
    <w:p w:rsidR="007A0C93" w:rsidRDefault="007A0C93">
      <w:pPr>
        <w:rPr>
          <w:rFonts w:asciiTheme="majorHAnsi" w:hAnsiTheme="majorHAnsi"/>
          <w:szCs w:val="22"/>
        </w:rPr>
      </w:pPr>
    </w:p>
    <w:p w:rsidR="007A0C93" w:rsidRDefault="007A0C93">
      <w:pPr>
        <w:rPr>
          <w:rFonts w:asciiTheme="majorHAnsi" w:hAnsiTheme="majorHAnsi"/>
          <w:szCs w:val="22"/>
        </w:rPr>
      </w:pPr>
    </w:p>
    <w:tbl>
      <w:tblPr>
        <w:tblW w:w="0" w:type="auto"/>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ook w:val="04A0" w:firstRow="1" w:lastRow="0" w:firstColumn="1" w:lastColumn="0" w:noHBand="0" w:noVBand="1"/>
      </w:tblPr>
      <w:tblGrid>
        <w:gridCol w:w="675"/>
        <w:gridCol w:w="4051"/>
        <w:gridCol w:w="627"/>
        <w:gridCol w:w="4099"/>
      </w:tblGrid>
      <w:tr w:rsidR="0094602B" w:rsidRPr="00253E29" w:rsidTr="00155DC6">
        <w:tc>
          <w:tcPr>
            <w:tcW w:w="9452" w:type="dxa"/>
            <w:gridSpan w:val="4"/>
            <w:tcBorders>
              <w:top w:val="single" w:sz="12" w:space="0" w:color="372C74"/>
              <w:left w:val="single" w:sz="12" w:space="0" w:color="372C74"/>
              <w:bottom w:val="single" w:sz="4" w:space="0" w:color="auto"/>
              <w:right w:val="single" w:sz="12" w:space="0" w:color="372C74"/>
              <w:tl2br w:val="nil"/>
              <w:tr2bl w:val="nil"/>
            </w:tcBorders>
            <w:shd w:val="clear" w:color="auto" w:fill="372C74"/>
            <w:vAlign w:val="center"/>
          </w:tcPr>
          <w:p w:rsidR="0094602B" w:rsidRPr="00053817" w:rsidRDefault="0094602B" w:rsidP="00155DC6">
            <w:pPr>
              <w:autoSpaceDE w:val="0"/>
              <w:autoSpaceDN w:val="0"/>
              <w:adjustRightInd w:val="0"/>
              <w:spacing w:before="0" w:after="0" w:line="240" w:lineRule="auto"/>
              <w:rPr>
                <w:b/>
                <w:lang w:bidi="ar-SA"/>
              </w:rPr>
            </w:pPr>
            <w:r w:rsidRPr="00053817">
              <w:rPr>
                <w:b/>
                <w:lang w:bidi="ar-SA"/>
              </w:rPr>
              <w:lastRenderedPageBreak/>
              <w:t>Shrnutí hlavních pozitivních a negativních charakteristik a očekávaných trendů v oblasti</w:t>
            </w:r>
          </w:p>
          <w:p w:rsidR="0094602B" w:rsidRPr="00053817" w:rsidRDefault="0094602B" w:rsidP="00155DC6">
            <w:pPr>
              <w:autoSpaceDE w:val="0"/>
              <w:autoSpaceDN w:val="0"/>
              <w:adjustRightInd w:val="0"/>
              <w:spacing w:before="0" w:after="0" w:line="240" w:lineRule="auto"/>
              <w:jc w:val="center"/>
              <w:rPr>
                <w:rFonts w:cs="Arial-ItalicMT"/>
                <w:b/>
                <w:iCs/>
                <w:szCs w:val="22"/>
              </w:rPr>
            </w:pPr>
            <w:r>
              <w:rPr>
                <w:b/>
                <w:lang w:bidi="ar-SA"/>
              </w:rPr>
              <w:t>Obyvatelstvo</w:t>
            </w:r>
          </w:p>
        </w:tc>
      </w:tr>
      <w:tr w:rsidR="0094602B" w:rsidTr="00155DC6">
        <w:tc>
          <w:tcPr>
            <w:tcW w:w="675" w:type="dxa"/>
            <w:tcBorders>
              <w:top w:val="single" w:sz="4" w:space="0" w:color="auto"/>
              <w:left w:val="single" w:sz="4" w:space="0" w:color="auto"/>
              <w:bottom w:val="single" w:sz="4" w:space="0" w:color="auto"/>
              <w:right w:val="nil"/>
              <w:tl2br w:val="nil"/>
              <w:tr2bl w:val="nil"/>
            </w:tcBorders>
            <w:shd w:val="clear" w:color="auto" w:fill="DDE9EC"/>
            <w:vAlign w:val="center"/>
          </w:tcPr>
          <w:p w:rsidR="0094602B" w:rsidRPr="00053817" w:rsidRDefault="0094602B" w:rsidP="00155DC6">
            <w:pPr>
              <w:autoSpaceDE w:val="0"/>
              <w:autoSpaceDN w:val="0"/>
              <w:adjustRightInd w:val="0"/>
              <w:spacing w:before="60" w:after="60" w:line="240" w:lineRule="auto"/>
              <w:jc w:val="center"/>
              <w:rPr>
                <w:rFonts w:ascii="Arial Black" w:hAnsi="Arial Black" w:cs="Arial-ItalicMT"/>
                <w:b/>
                <w:iCs/>
                <w:color w:val="00B050"/>
                <w:szCs w:val="22"/>
              </w:rPr>
            </w:pPr>
            <w:r w:rsidRPr="00053817">
              <w:rPr>
                <w:rFonts w:ascii="Arial Black" w:hAnsi="Arial Black" w:cs="Arial-ItalicMT"/>
                <w:b/>
                <w:iCs/>
                <w:color w:val="00B050"/>
                <w:sz w:val="40"/>
                <w:szCs w:val="40"/>
              </w:rPr>
              <w:t>+</w:t>
            </w:r>
          </w:p>
        </w:tc>
        <w:tc>
          <w:tcPr>
            <w:tcW w:w="4051" w:type="dxa"/>
            <w:tcBorders>
              <w:top w:val="single" w:sz="4" w:space="0" w:color="auto"/>
              <w:left w:val="nil"/>
              <w:bottom w:val="single" w:sz="4" w:space="0" w:color="auto"/>
              <w:right w:val="single" w:sz="4" w:space="0" w:color="auto"/>
            </w:tcBorders>
            <w:shd w:val="clear" w:color="auto" w:fill="DDE9EC"/>
          </w:tcPr>
          <w:p w:rsidR="00C53A15" w:rsidRDefault="006E5C5D" w:rsidP="00B16F4B">
            <w:pPr>
              <w:pStyle w:val="Odstavecseseznamem"/>
              <w:numPr>
                <w:ilvl w:val="0"/>
                <w:numId w:val="1"/>
              </w:numPr>
              <w:autoSpaceDE w:val="0"/>
              <w:autoSpaceDN w:val="0"/>
              <w:adjustRightInd w:val="0"/>
              <w:spacing w:before="60" w:after="60" w:line="240" w:lineRule="auto"/>
              <w:ind w:left="606" w:hanging="510"/>
              <w:jc w:val="left"/>
              <w:rPr>
                <w:rFonts w:cs="Arial-ItalicMT"/>
                <w:iCs/>
                <w:szCs w:val="22"/>
              </w:rPr>
            </w:pPr>
            <w:r>
              <w:rPr>
                <w:rFonts w:cs="Arial-ItalicMT"/>
                <w:iCs/>
                <w:szCs w:val="22"/>
              </w:rPr>
              <w:t>Meziroční přírůstky počtu dětí do 14 let jsou od roku 2010 kladné, roste počet dětí ve městě.</w:t>
            </w:r>
          </w:p>
          <w:p w:rsidR="00163B11" w:rsidRDefault="00163B11" w:rsidP="00B16F4B">
            <w:pPr>
              <w:pStyle w:val="Odstavecseseznamem"/>
              <w:numPr>
                <w:ilvl w:val="0"/>
                <w:numId w:val="1"/>
              </w:numPr>
              <w:autoSpaceDE w:val="0"/>
              <w:autoSpaceDN w:val="0"/>
              <w:adjustRightInd w:val="0"/>
              <w:spacing w:before="60" w:after="60" w:line="240" w:lineRule="auto"/>
              <w:ind w:left="606" w:hanging="510"/>
              <w:jc w:val="left"/>
              <w:rPr>
                <w:rFonts w:cs="Arial-ItalicMT"/>
                <w:iCs/>
                <w:szCs w:val="22"/>
              </w:rPr>
            </w:pPr>
            <w:r>
              <w:rPr>
                <w:rFonts w:cs="Arial-ItalicMT"/>
                <w:iCs/>
                <w:szCs w:val="22"/>
              </w:rPr>
              <w:t>Růst vzdělanostní úrovně obyvatel</w:t>
            </w:r>
          </w:p>
          <w:p w:rsidR="00163B11" w:rsidRPr="00C53A15" w:rsidRDefault="00163B11" w:rsidP="00B16F4B">
            <w:pPr>
              <w:pStyle w:val="Odstavecseseznamem"/>
              <w:autoSpaceDE w:val="0"/>
              <w:autoSpaceDN w:val="0"/>
              <w:adjustRightInd w:val="0"/>
              <w:spacing w:before="60" w:after="60" w:line="240" w:lineRule="auto"/>
              <w:ind w:left="459"/>
              <w:jc w:val="left"/>
              <w:rPr>
                <w:rFonts w:cs="Arial-ItalicMT"/>
                <w:iCs/>
                <w:szCs w:val="22"/>
              </w:rPr>
            </w:pPr>
          </w:p>
          <w:p w:rsidR="0094602B" w:rsidRPr="00053817" w:rsidRDefault="0094602B" w:rsidP="00550574">
            <w:pPr>
              <w:pStyle w:val="Odstavecseseznamem"/>
              <w:autoSpaceDE w:val="0"/>
              <w:autoSpaceDN w:val="0"/>
              <w:adjustRightInd w:val="0"/>
              <w:spacing w:before="60" w:after="60" w:line="240" w:lineRule="auto"/>
              <w:ind w:left="459"/>
              <w:jc w:val="left"/>
              <w:rPr>
                <w:rFonts w:cs="Arial-ItalicMT"/>
                <w:iCs/>
                <w:szCs w:val="22"/>
              </w:rPr>
            </w:pPr>
          </w:p>
        </w:tc>
        <w:tc>
          <w:tcPr>
            <w:tcW w:w="627" w:type="dxa"/>
            <w:tcBorders>
              <w:top w:val="single" w:sz="4" w:space="0" w:color="auto"/>
              <w:left w:val="single" w:sz="4" w:space="0" w:color="auto"/>
              <w:bottom w:val="single" w:sz="4" w:space="0" w:color="auto"/>
              <w:right w:val="nil"/>
            </w:tcBorders>
            <w:shd w:val="clear" w:color="auto" w:fill="DDE9EC"/>
            <w:vAlign w:val="center"/>
          </w:tcPr>
          <w:p w:rsidR="0094602B" w:rsidRPr="00053817" w:rsidRDefault="0094602B" w:rsidP="00155DC6">
            <w:pPr>
              <w:autoSpaceDE w:val="0"/>
              <w:autoSpaceDN w:val="0"/>
              <w:adjustRightInd w:val="0"/>
              <w:spacing w:before="60" w:after="60" w:line="240" w:lineRule="auto"/>
              <w:jc w:val="center"/>
              <w:rPr>
                <w:rFonts w:cs="Arial-ItalicMT"/>
                <w:iCs/>
                <w:color w:val="FF0000"/>
                <w:sz w:val="40"/>
                <w:szCs w:val="40"/>
              </w:rPr>
            </w:pPr>
            <w:r w:rsidRPr="00053817">
              <w:rPr>
                <w:rFonts w:ascii="Arial Black" w:hAnsi="Arial Black" w:cs="Arial-ItalicMT"/>
                <w:b/>
                <w:iCs/>
                <w:color w:val="FF0000"/>
                <w:sz w:val="40"/>
                <w:szCs w:val="40"/>
              </w:rPr>
              <w:t>-</w:t>
            </w:r>
          </w:p>
        </w:tc>
        <w:tc>
          <w:tcPr>
            <w:tcW w:w="4099" w:type="dxa"/>
            <w:tcBorders>
              <w:top w:val="single" w:sz="4" w:space="0" w:color="auto"/>
              <w:left w:val="nil"/>
              <w:bottom w:val="single" w:sz="4" w:space="0" w:color="auto"/>
              <w:right w:val="single" w:sz="4" w:space="0" w:color="auto"/>
            </w:tcBorders>
            <w:shd w:val="clear" w:color="auto" w:fill="DDE9EC"/>
          </w:tcPr>
          <w:p w:rsidR="006E5C5D" w:rsidRPr="00B16F4B" w:rsidRDefault="006E5C5D" w:rsidP="00B16F4B">
            <w:pPr>
              <w:pStyle w:val="Odstavecseseznamem"/>
              <w:numPr>
                <w:ilvl w:val="0"/>
                <w:numId w:val="2"/>
              </w:numPr>
              <w:autoSpaceDE w:val="0"/>
              <w:autoSpaceDN w:val="0"/>
              <w:adjustRightInd w:val="0"/>
              <w:spacing w:before="60" w:after="60" w:line="240" w:lineRule="auto"/>
              <w:ind w:left="470" w:hanging="510"/>
              <w:jc w:val="left"/>
              <w:rPr>
                <w:rFonts w:cs="Arial-ItalicMT"/>
                <w:iCs/>
                <w:szCs w:val="22"/>
              </w:rPr>
            </w:pPr>
            <w:r>
              <w:rPr>
                <w:rFonts w:cs="Arial-ItalicMT"/>
                <w:iCs/>
                <w:szCs w:val="22"/>
              </w:rPr>
              <w:t>Meziroční přírůstky počtu seniorů od roku 2010 významně rostou a tím roste i absolutní počet seniorů ve městě</w:t>
            </w:r>
            <w:r w:rsidR="00D16966">
              <w:rPr>
                <w:rFonts w:cs="Arial-ItalicMT"/>
                <w:iCs/>
                <w:szCs w:val="22"/>
              </w:rPr>
              <w:t xml:space="preserve">,  </w:t>
            </w:r>
            <w:r>
              <w:rPr>
                <w:rFonts w:cs="Arial-ItalicMT"/>
                <w:iCs/>
                <w:szCs w:val="22"/>
              </w:rPr>
              <w:t>.</w:t>
            </w:r>
          </w:p>
          <w:p w:rsidR="00163B11" w:rsidRPr="00B16F4B" w:rsidRDefault="00163B11" w:rsidP="00B16F4B">
            <w:pPr>
              <w:pStyle w:val="Odstavecseseznamem"/>
              <w:numPr>
                <w:ilvl w:val="0"/>
                <w:numId w:val="2"/>
              </w:numPr>
              <w:autoSpaceDE w:val="0"/>
              <w:autoSpaceDN w:val="0"/>
              <w:adjustRightInd w:val="0"/>
              <w:spacing w:before="60" w:after="60" w:line="240" w:lineRule="auto"/>
              <w:ind w:left="470" w:hanging="510"/>
              <w:jc w:val="left"/>
              <w:rPr>
                <w:rFonts w:cs="Arial-ItalicMT"/>
                <w:iCs/>
                <w:szCs w:val="22"/>
              </w:rPr>
            </w:pPr>
            <w:r>
              <w:rPr>
                <w:rFonts w:cs="Arial-ItalicMT"/>
                <w:iCs/>
                <w:szCs w:val="22"/>
              </w:rPr>
              <w:t>Odchod občanů z města, především mladých</w:t>
            </w:r>
          </w:p>
          <w:p w:rsidR="00163B11" w:rsidRPr="00B16F4B" w:rsidRDefault="00163B11" w:rsidP="00B16F4B">
            <w:pPr>
              <w:pStyle w:val="Odstavecseseznamem"/>
              <w:numPr>
                <w:ilvl w:val="0"/>
                <w:numId w:val="2"/>
              </w:numPr>
              <w:autoSpaceDE w:val="0"/>
              <w:autoSpaceDN w:val="0"/>
              <w:adjustRightInd w:val="0"/>
              <w:spacing w:before="60" w:after="60" w:line="240" w:lineRule="auto"/>
              <w:ind w:left="470" w:hanging="510"/>
              <w:jc w:val="left"/>
              <w:rPr>
                <w:rFonts w:cs="Arial-ItalicMT"/>
                <w:iCs/>
                <w:szCs w:val="22"/>
              </w:rPr>
            </w:pPr>
            <w:r>
              <w:rPr>
                <w:rFonts w:cs="Arial-ItalicMT"/>
                <w:iCs/>
                <w:szCs w:val="22"/>
              </w:rPr>
              <w:t>Zvyšování průměrného věku obyvatel</w:t>
            </w:r>
          </w:p>
          <w:p w:rsidR="00163B11" w:rsidRPr="00B16F4B" w:rsidRDefault="00163B11" w:rsidP="00B16F4B">
            <w:pPr>
              <w:pStyle w:val="Odstavecseseznamem"/>
              <w:numPr>
                <w:ilvl w:val="0"/>
                <w:numId w:val="2"/>
              </w:numPr>
              <w:autoSpaceDE w:val="0"/>
              <w:autoSpaceDN w:val="0"/>
              <w:adjustRightInd w:val="0"/>
              <w:spacing w:before="60" w:after="60" w:line="240" w:lineRule="auto"/>
              <w:ind w:left="470" w:hanging="510"/>
              <w:jc w:val="left"/>
              <w:rPr>
                <w:rFonts w:cs="Arial-ItalicMT"/>
                <w:iCs/>
                <w:szCs w:val="22"/>
              </w:rPr>
            </w:pPr>
            <w:r>
              <w:rPr>
                <w:rFonts w:cs="Arial-ItalicMT"/>
                <w:iCs/>
                <w:szCs w:val="22"/>
              </w:rPr>
              <w:t>Vysoká hodnota indexu stáří (123,9)</w:t>
            </w:r>
          </w:p>
          <w:p w:rsidR="00163B11" w:rsidRPr="00B16F4B" w:rsidRDefault="00163B11" w:rsidP="00B16F4B">
            <w:pPr>
              <w:pStyle w:val="Odstavecseseznamem"/>
              <w:numPr>
                <w:ilvl w:val="0"/>
                <w:numId w:val="2"/>
              </w:numPr>
              <w:autoSpaceDE w:val="0"/>
              <w:autoSpaceDN w:val="0"/>
              <w:adjustRightInd w:val="0"/>
              <w:spacing w:before="60" w:after="60" w:line="240" w:lineRule="auto"/>
              <w:ind w:left="470" w:hanging="510"/>
              <w:jc w:val="left"/>
              <w:rPr>
                <w:rFonts w:cs="Arial-ItalicMT"/>
                <w:iCs/>
                <w:szCs w:val="22"/>
              </w:rPr>
            </w:pPr>
            <w:r>
              <w:rPr>
                <w:rFonts w:cs="Arial-ItalicMT"/>
                <w:iCs/>
                <w:szCs w:val="22"/>
              </w:rPr>
              <w:t xml:space="preserve">Koncentrace </w:t>
            </w:r>
            <w:r w:rsidR="00B16F4B">
              <w:rPr>
                <w:rFonts w:cs="Arial-ItalicMT"/>
                <w:iCs/>
                <w:szCs w:val="22"/>
              </w:rPr>
              <w:t>nerpřizpůsobivých obyvatel</w:t>
            </w:r>
            <w:r>
              <w:rPr>
                <w:rFonts w:cs="Arial-ItalicMT"/>
                <w:iCs/>
                <w:szCs w:val="22"/>
              </w:rPr>
              <w:t xml:space="preserve"> v některých lokalitách</w:t>
            </w:r>
          </w:p>
          <w:p w:rsidR="00163B11" w:rsidRPr="00B16F4B" w:rsidRDefault="00163B11" w:rsidP="00B16F4B">
            <w:pPr>
              <w:pStyle w:val="Odstavecseseznamem"/>
              <w:numPr>
                <w:ilvl w:val="0"/>
                <w:numId w:val="2"/>
              </w:numPr>
              <w:autoSpaceDE w:val="0"/>
              <w:autoSpaceDN w:val="0"/>
              <w:adjustRightInd w:val="0"/>
              <w:spacing w:before="60" w:after="60" w:line="240" w:lineRule="auto"/>
              <w:ind w:left="470" w:hanging="510"/>
              <w:jc w:val="left"/>
              <w:rPr>
                <w:rFonts w:cs="Arial-ItalicMT"/>
                <w:iCs/>
                <w:szCs w:val="22"/>
              </w:rPr>
            </w:pPr>
            <w:r>
              <w:rPr>
                <w:rFonts w:cs="Arial-ItalicMT"/>
                <w:iCs/>
                <w:szCs w:val="22"/>
              </w:rPr>
              <w:t>Nedostatečně kvalifikovaná pracovní síla</w:t>
            </w:r>
          </w:p>
          <w:p w:rsidR="00163B11" w:rsidRPr="00B16F4B" w:rsidRDefault="00163B11" w:rsidP="00B16F4B">
            <w:pPr>
              <w:pStyle w:val="Odstavecseseznamem"/>
              <w:numPr>
                <w:ilvl w:val="0"/>
                <w:numId w:val="2"/>
              </w:numPr>
              <w:autoSpaceDE w:val="0"/>
              <w:autoSpaceDN w:val="0"/>
              <w:adjustRightInd w:val="0"/>
              <w:spacing w:before="60" w:after="60" w:line="240" w:lineRule="auto"/>
              <w:ind w:left="470" w:hanging="510"/>
              <w:jc w:val="left"/>
              <w:rPr>
                <w:rFonts w:cs="Arial-ItalicMT"/>
                <w:iCs/>
                <w:szCs w:val="22"/>
              </w:rPr>
            </w:pPr>
            <w:r>
              <w:rPr>
                <w:rFonts w:cs="Arial-ItalicMT"/>
                <w:iCs/>
                <w:szCs w:val="22"/>
              </w:rPr>
              <w:t>Demotivační systém sociálních dávek</w:t>
            </w:r>
          </w:p>
          <w:p w:rsidR="00163B11" w:rsidRPr="00B16F4B" w:rsidRDefault="00163B11" w:rsidP="00B16F4B">
            <w:pPr>
              <w:pStyle w:val="Odstavecseseznamem"/>
              <w:numPr>
                <w:ilvl w:val="0"/>
                <w:numId w:val="2"/>
              </w:numPr>
              <w:autoSpaceDE w:val="0"/>
              <w:autoSpaceDN w:val="0"/>
              <w:adjustRightInd w:val="0"/>
              <w:spacing w:before="60" w:after="60" w:line="240" w:lineRule="auto"/>
              <w:ind w:left="470" w:hanging="510"/>
              <w:jc w:val="left"/>
              <w:rPr>
                <w:rFonts w:cs="Arial-ItalicMT"/>
                <w:iCs/>
                <w:szCs w:val="22"/>
              </w:rPr>
            </w:pPr>
            <w:r>
              <w:rPr>
                <w:rFonts w:cs="Arial-ItalicMT"/>
                <w:iCs/>
                <w:szCs w:val="22"/>
              </w:rPr>
              <w:t>Růst frustrace obyvatel z důvodu štědrého a demotivačního systému sociální podpory</w:t>
            </w:r>
          </w:p>
        </w:tc>
      </w:tr>
      <w:tr w:rsidR="0094602B" w:rsidTr="00155DC6">
        <w:tc>
          <w:tcPr>
            <w:tcW w:w="9452" w:type="dxa"/>
            <w:gridSpan w:val="4"/>
            <w:tcBorders>
              <w:top w:val="nil"/>
              <w:left w:val="single" w:sz="4" w:space="0" w:color="auto"/>
              <w:bottom w:val="single" w:sz="4" w:space="0" w:color="auto"/>
              <w:right w:val="single" w:sz="4" w:space="0" w:color="auto"/>
              <w:tl2br w:val="nil"/>
              <w:tr2bl w:val="nil"/>
            </w:tcBorders>
            <w:shd w:val="clear" w:color="auto" w:fill="DDE9EC"/>
            <w:vAlign w:val="center"/>
          </w:tcPr>
          <w:p w:rsidR="0094602B" w:rsidRDefault="0094602B" w:rsidP="00155DC6">
            <w:pPr>
              <w:autoSpaceDE w:val="0"/>
              <w:autoSpaceDN w:val="0"/>
              <w:adjustRightInd w:val="0"/>
              <w:spacing w:before="60" w:after="60" w:line="240" w:lineRule="auto"/>
              <w:rPr>
                <w:rFonts w:cs="Arial-ItalicMT"/>
                <w:iCs/>
                <w:color w:val="372C74"/>
                <w:szCs w:val="22"/>
              </w:rPr>
            </w:pPr>
            <w:r>
              <w:rPr>
                <w:rFonts w:cs="Arial-ItalicMT"/>
                <w:iCs/>
                <w:color w:val="372C74"/>
                <w:szCs w:val="22"/>
              </w:rPr>
              <w:t>Komentář:</w:t>
            </w:r>
          </w:p>
          <w:p w:rsidR="0094602B" w:rsidRDefault="006E5C5D" w:rsidP="00A45423">
            <w:pPr>
              <w:autoSpaceDE w:val="0"/>
              <w:autoSpaceDN w:val="0"/>
              <w:adjustRightInd w:val="0"/>
              <w:spacing w:before="60" w:after="60" w:line="240" w:lineRule="auto"/>
              <w:rPr>
                <w:rFonts w:cs="Arial-ItalicMT"/>
                <w:iCs/>
                <w:color w:val="372C74"/>
                <w:szCs w:val="22"/>
              </w:rPr>
            </w:pPr>
            <w:r>
              <w:rPr>
                <w:rFonts w:cs="Arial-ItalicMT"/>
                <w:iCs/>
                <w:color w:val="372C74"/>
                <w:szCs w:val="22"/>
              </w:rPr>
              <w:t>Demografický vývoj dokládá trend významného stárnutí popula</w:t>
            </w:r>
            <w:r w:rsidR="00A45423">
              <w:rPr>
                <w:rFonts w:cs="Arial-ItalicMT"/>
                <w:iCs/>
                <w:color w:val="372C74"/>
                <w:szCs w:val="22"/>
              </w:rPr>
              <w:t>c</w:t>
            </w:r>
            <w:r>
              <w:rPr>
                <w:rFonts w:cs="Arial-ItalicMT"/>
                <w:iCs/>
                <w:color w:val="372C74"/>
                <w:szCs w:val="22"/>
              </w:rPr>
              <w:t>e, což nedokáž</w:t>
            </w:r>
            <w:r w:rsidR="00A45423">
              <w:rPr>
                <w:rFonts w:cs="Arial-ItalicMT"/>
                <w:iCs/>
                <w:color w:val="372C74"/>
                <w:szCs w:val="22"/>
              </w:rPr>
              <w:t>ou</w:t>
            </w:r>
            <w:r>
              <w:rPr>
                <w:rFonts w:cs="Arial-ItalicMT"/>
                <w:iCs/>
                <w:color w:val="372C74"/>
                <w:szCs w:val="22"/>
              </w:rPr>
              <w:t xml:space="preserve"> vykompenzovat an</w:t>
            </w:r>
            <w:r w:rsidR="00A45423">
              <w:rPr>
                <w:rFonts w:cs="Arial-ItalicMT"/>
                <w:iCs/>
                <w:color w:val="372C74"/>
                <w:szCs w:val="22"/>
              </w:rPr>
              <w:t xml:space="preserve">i kladné přírůstky dětí školního věku. Ve městě ubývá střední generace a průměrný věk populace trvale roste. </w:t>
            </w:r>
            <w:r w:rsidR="00A45423" w:rsidRPr="00A45423">
              <w:rPr>
                <w:rFonts w:cs="Arial-ItalicMT"/>
                <w:iCs/>
                <w:color w:val="372C74"/>
                <w:szCs w:val="22"/>
              </w:rPr>
              <w:t>To bude vytvářet, a v současnosti již vytváří tlak na sociální služby.</w:t>
            </w:r>
          </w:p>
          <w:p w:rsidR="00163B11" w:rsidRPr="00053817" w:rsidRDefault="00A45423" w:rsidP="00A45423">
            <w:pPr>
              <w:autoSpaceDE w:val="0"/>
              <w:autoSpaceDN w:val="0"/>
              <w:adjustRightInd w:val="0"/>
              <w:spacing w:before="60" w:after="60" w:line="240" w:lineRule="auto"/>
              <w:rPr>
                <w:rFonts w:cs="Arial-ItalicMT"/>
                <w:iCs/>
                <w:color w:val="372C74"/>
                <w:szCs w:val="22"/>
              </w:rPr>
            </w:pPr>
            <w:r>
              <w:rPr>
                <w:rFonts w:cs="Arial-ItalicMT"/>
                <w:iCs/>
                <w:color w:val="372C74"/>
                <w:szCs w:val="22"/>
              </w:rPr>
              <w:t>Naopak, přírůstkem dětí školního věku je třeba zohlednit při bilancování kapacit předškolních a školních zařízení.</w:t>
            </w:r>
          </w:p>
        </w:tc>
      </w:tr>
    </w:tbl>
    <w:p w:rsidR="00B96EBE" w:rsidRDefault="00B96EBE">
      <w:pPr>
        <w:spacing w:before="0" w:after="0" w:line="240" w:lineRule="auto"/>
        <w:jc w:val="left"/>
        <w:rPr>
          <w:color w:val="1B1639"/>
          <w:spacing w:val="15"/>
          <w:sz w:val="24"/>
          <w:szCs w:val="22"/>
        </w:rPr>
      </w:pPr>
      <w:r>
        <w:br w:type="page"/>
      </w:r>
    </w:p>
    <w:p w:rsidR="004312E6" w:rsidRDefault="009F5528" w:rsidP="004312E6">
      <w:pPr>
        <w:pStyle w:val="Nadpis3"/>
        <w:spacing w:line="240" w:lineRule="auto"/>
      </w:pPr>
      <w:bookmarkStart w:id="64" w:name="_Toc516058313"/>
      <w:r>
        <w:lastRenderedPageBreak/>
        <w:t>P</w:t>
      </w:r>
      <w:r w:rsidR="004312E6">
        <w:t>.1.3</w:t>
      </w:r>
      <w:r w:rsidR="004312E6" w:rsidRPr="005F0699">
        <w:t xml:space="preserve"> </w:t>
      </w:r>
      <w:r w:rsidR="004312E6">
        <w:t>Hospodářství</w:t>
      </w:r>
      <w:bookmarkEnd w:id="64"/>
    </w:p>
    <w:p w:rsidR="004312E6" w:rsidRDefault="004312E6" w:rsidP="004312E6"/>
    <w:p w:rsidR="004312E6" w:rsidRPr="007B0DDF" w:rsidRDefault="004312E6" w:rsidP="004312E6">
      <w:pPr>
        <w:pStyle w:val="Nadpis4"/>
        <w:pBdr>
          <w:top w:val="none" w:sz="0" w:space="0" w:color="auto"/>
          <w:left w:val="none" w:sz="0" w:space="0" w:color="auto"/>
        </w:pBdr>
        <w:shd w:val="clear" w:color="auto" w:fill="372C74"/>
        <w:spacing w:before="0" w:after="200"/>
        <w:ind w:firstLine="0"/>
        <w:rPr>
          <w:color w:val="auto"/>
          <w:spacing w:val="4"/>
          <w:szCs w:val="24"/>
        </w:rPr>
      </w:pPr>
      <w:bookmarkStart w:id="65" w:name="_Toc516058314"/>
      <w:r w:rsidRPr="007B0DDF">
        <w:rPr>
          <w:color w:val="auto"/>
          <w:spacing w:val="4"/>
          <w:szCs w:val="24"/>
        </w:rPr>
        <w:t>I. Ekonomická situace</w:t>
      </w:r>
      <w:bookmarkEnd w:id="65"/>
      <w:r w:rsidRPr="007B0DDF">
        <w:rPr>
          <w:color w:val="auto"/>
          <w:spacing w:val="4"/>
          <w:szCs w:val="24"/>
        </w:rPr>
        <w:t xml:space="preserve"> </w:t>
      </w:r>
    </w:p>
    <w:p w:rsidR="002A2393" w:rsidRPr="00543A89" w:rsidRDefault="00363BEE" w:rsidP="002A2393">
      <w:pPr>
        <w:pStyle w:val="Nadpis6"/>
        <w:rPr>
          <w:rFonts w:asciiTheme="majorHAnsi" w:hAnsiTheme="majorHAnsi"/>
        </w:rPr>
      </w:pPr>
      <w:r>
        <w:rPr>
          <w:rFonts w:asciiTheme="majorHAnsi" w:hAnsiTheme="majorHAnsi"/>
        </w:rPr>
        <w:t>Struktura ekonomických subjektů</w:t>
      </w:r>
    </w:p>
    <w:p w:rsidR="002A2393" w:rsidRDefault="002A2393" w:rsidP="00A12C94">
      <w:pPr>
        <w:spacing w:before="0" w:after="0" w:line="240" w:lineRule="auto"/>
        <w:jc w:val="left"/>
        <w:rPr>
          <w:rFonts w:asciiTheme="majorHAnsi" w:hAnsiTheme="majorHAnsi"/>
        </w:rPr>
      </w:pPr>
    </w:p>
    <w:p w:rsidR="000454BB" w:rsidRDefault="000454BB" w:rsidP="000817F9">
      <w:pPr>
        <w:spacing w:before="0" w:after="0" w:line="240" w:lineRule="auto"/>
        <w:rPr>
          <w:rFonts w:asciiTheme="minorHAnsi" w:hAnsiTheme="minorHAnsi" w:cs="Arial-ItalicMT"/>
          <w:iCs/>
          <w:sz w:val="18"/>
          <w:szCs w:val="18"/>
        </w:rPr>
      </w:pPr>
      <w:bookmarkStart w:id="66" w:name="_Toc516059017"/>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8</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0454BB">
        <w:rPr>
          <w:rFonts w:asciiTheme="minorHAnsi" w:hAnsiTheme="minorHAnsi" w:cs="Arial-ItalicMT"/>
          <w:iCs/>
          <w:sz w:val="18"/>
          <w:szCs w:val="18"/>
        </w:rPr>
        <w:t>Ekonomické subjekty se sídlem na území správního obvodu</w:t>
      </w:r>
      <w:r w:rsidR="001041F1">
        <w:rPr>
          <w:rFonts w:asciiTheme="minorHAnsi" w:hAnsiTheme="minorHAnsi" w:cs="Arial-ItalicMT"/>
          <w:iCs/>
          <w:sz w:val="18"/>
          <w:szCs w:val="18"/>
        </w:rPr>
        <w:t xml:space="preserve"> </w:t>
      </w:r>
      <w:r w:rsidR="00A17584">
        <w:rPr>
          <w:rFonts w:asciiTheme="minorHAnsi" w:hAnsiTheme="minorHAnsi" w:cs="Arial-ItalicMT"/>
          <w:iCs/>
          <w:sz w:val="18"/>
          <w:szCs w:val="18"/>
        </w:rPr>
        <w:t>ORP Ostrov</w:t>
      </w:r>
      <w:r w:rsidRPr="000454BB">
        <w:rPr>
          <w:rFonts w:asciiTheme="minorHAnsi" w:hAnsiTheme="minorHAnsi" w:cs="Arial-ItalicMT"/>
          <w:iCs/>
          <w:sz w:val="18"/>
          <w:szCs w:val="18"/>
        </w:rPr>
        <w:t xml:space="preserve"> (stav k 31. 12.)</w:t>
      </w:r>
      <w:bookmarkEnd w:id="66"/>
    </w:p>
    <w:tbl>
      <w:tblPr>
        <w:tblpPr w:leftFromText="180" w:rightFromText="180" w:vertAnchor="text" w:horzAnchor="margin" w:tblpY="164"/>
        <w:tblW w:w="4817" w:type="pct"/>
        <w:tblLayout w:type="fixed"/>
        <w:tblLook w:val="04A0" w:firstRow="1" w:lastRow="0" w:firstColumn="1" w:lastColumn="0" w:noHBand="0" w:noVBand="1"/>
      </w:tblPr>
      <w:tblGrid>
        <w:gridCol w:w="3511"/>
        <w:gridCol w:w="809"/>
        <w:gridCol w:w="809"/>
        <w:gridCol w:w="810"/>
        <w:gridCol w:w="810"/>
        <w:gridCol w:w="810"/>
        <w:gridCol w:w="810"/>
        <w:gridCol w:w="810"/>
      </w:tblGrid>
      <w:tr w:rsidR="000817F9" w:rsidRPr="00BB4C0D" w:rsidTr="000817F9">
        <w:trPr>
          <w:trHeight w:val="262"/>
        </w:trPr>
        <w:tc>
          <w:tcPr>
            <w:tcW w:w="1913" w:type="pct"/>
            <w:vMerge w:val="restart"/>
            <w:tcBorders>
              <w:top w:val="single" w:sz="8" w:space="0" w:color="auto"/>
              <w:left w:val="nil"/>
              <w:bottom w:val="single" w:sz="8" w:space="0" w:color="000000"/>
              <w:right w:val="single" w:sz="4" w:space="0" w:color="FFFFFF"/>
            </w:tcBorders>
            <w:shd w:val="clear" w:color="auto" w:fill="372C74"/>
            <w:noWrap/>
            <w:vAlign w:val="center"/>
            <w:hideMark/>
          </w:tcPr>
          <w:p w:rsidR="000817F9" w:rsidRPr="00FD3EB8" w:rsidRDefault="000817F9" w:rsidP="000817F9">
            <w:pPr>
              <w:spacing w:before="0" w:after="0" w:line="240" w:lineRule="auto"/>
              <w:jc w:val="center"/>
              <w:rPr>
                <w:rFonts w:asciiTheme="majorHAnsi" w:eastAsia="Times New Roman" w:hAnsiTheme="majorHAnsi" w:cs="Arial"/>
                <w:i/>
                <w:color w:val="FFFFFF"/>
                <w:spacing w:val="0"/>
                <w:sz w:val="16"/>
                <w:szCs w:val="16"/>
                <w:lang w:bidi="ar-SA"/>
              </w:rPr>
            </w:pPr>
            <w:r w:rsidRPr="00FD3EB8">
              <w:rPr>
                <w:rFonts w:asciiTheme="majorHAnsi" w:eastAsia="Times New Roman" w:hAnsiTheme="majorHAnsi" w:cs="Arial"/>
                <w:i/>
                <w:color w:val="FFFFFF"/>
                <w:spacing w:val="0"/>
                <w:sz w:val="16"/>
                <w:szCs w:val="16"/>
                <w:lang w:bidi="ar-SA"/>
              </w:rPr>
              <w:t>UKAZATEL</w:t>
            </w:r>
          </w:p>
        </w:tc>
        <w:tc>
          <w:tcPr>
            <w:tcW w:w="3087" w:type="pct"/>
            <w:gridSpan w:val="7"/>
            <w:tcBorders>
              <w:top w:val="nil"/>
              <w:left w:val="nil"/>
              <w:bottom w:val="nil"/>
              <w:right w:val="nil"/>
            </w:tcBorders>
            <w:shd w:val="clear" w:color="auto" w:fill="372C74"/>
            <w:noWrap/>
            <w:vAlign w:val="center"/>
            <w:hideMark/>
          </w:tcPr>
          <w:p w:rsidR="000817F9" w:rsidRPr="00BB4C0D" w:rsidRDefault="000817F9"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 xml:space="preserve">SO ORP </w:t>
            </w:r>
            <w:r>
              <w:rPr>
                <w:rFonts w:asciiTheme="majorHAnsi" w:eastAsia="Times New Roman" w:hAnsiTheme="majorHAnsi" w:cs="Arial"/>
                <w:b/>
                <w:bCs/>
                <w:color w:val="FFFFFF"/>
                <w:spacing w:val="0"/>
                <w:sz w:val="16"/>
                <w:szCs w:val="16"/>
                <w:lang w:bidi="ar-SA"/>
              </w:rPr>
              <w:t>Ostrov</w:t>
            </w:r>
          </w:p>
        </w:tc>
      </w:tr>
      <w:tr w:rsidR="000817F9" w:rsidRPr="00BB4C0D" w:rsidTr="000817F9">
        <w:trPr>
          <w:trHeight w:val="262"/>
        </w:trPr>
        <w:tc>
          <w:tcPr>
            <w:tcW w:w="1913" w:type="pct"/>
            <w:vMerge/>
            <w:tcBorders>
              <w:top w:val="single" w:sz="8" w:space="0" w:color="auto"/>
              <w:left w:val="nil"/>
              <w:bottom w:val="single" w:sz="4" w:space="0" w:color="auto"/>
              <w:right w:val="single" w:sz="4" w:space="0" w:color="FFFFFF"/>
            </w:tcBorders>
            <w:shd w:val="clear" w:color="auto" w:fill="372C74"/>
            <w:vAlign w:val="center"/>
            <w:hideMark/>
          </w:tcPr>
          <w:p w:rsidR="000817F9" w:rsidRPr="00BB4C0D" w:rsidRDefault="000817F9" w:rsidP="000817F9">
            <w:pPr>
              <w:spacing w:before="0" w:after="0" w:line="240" w:lineRule="auto"/>
              <w:jc w:val="left"/>
              <w:rPr>
                <w:rFonts w:asciiTheme="majorHAnsi" w:eastAsia="Times New Roman" w:hAnsiTheme="majorHAnsi" w:cs="Arial"/>
                <w:color w:val="FFFFFF"/>
                <w:spacing w:val="0"/>
                <w:sz w:val="16"/>
                <w:szCs w:val="16"/>
                <w:lang w:bidi="ar-SA"/>
              </w:rPr>
            </w:pPr>
          </w:p>
        </w:tc>
        <w:tc>
          <w:tcPr>
            <w:tcW w:w="441" w:type="pct"/>
            <w:tcBorders>
              <w:top w:val="single" w:sz="4" w:space="0" w:color="FFFFFF"/>
              <w:left w:val="nil"/>
              <w:bottom w:val="single" w:sz="4" w:space="0" w:color="auto"/>
              <w:right w:val="single" w:sz="4" w:space="0" w:color="FFFFFF"/>
            </w:tcBorders>
            <w:shd w:val="clear" w:color="auto" w:fill="372C74"/>
            <w:noWrap/>
            <w:vAlign w:val="center"/>
            <w:hideMark/>
          </w:tcPr>
          <w:p w:rsidR="000817F9" w:rsidRPr="00BB4C0D" w:rsidRDefault="000817F9"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2010</w:t>
            </w:r>
          </w:p>
        </w:tc>
        <w:tc>
          <w:tcPr>
            <w:tcW w:w="441" w:type="pct"/>
            <w:tcBorders>
              <w:top w:val="single" w:sz="4" w:space="0" w:color="FFFFFF"/>
              <w:left w:val="nil"/>
              <w:bottom w:val="single" w:sz="4" w:space="0" w:color="auto"/>
              <w:right w:val="single" w:sz="4" w:space="0" w:color="FFFFFF"/>
            </w:tcBorders>
            <w:shd w:val="clear" w:color="auto" w:fill="372C74"/>
            <w:noWrap/>
            <w:vAlign w:val="center"/>
            <w:hideMark/>
          </w:tcPr>
          <w:p w:rsidR="000817F9" w:rsidRPr="00BB4C0D" w:rsidRDefault="000817F9"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2011</w:t>
            </w:r>
          </w:p>
        </w:tc>
        <w:tc>
          <w:tcPr>
            <w:tcW w:w="441" w:type="pct"/>
            <w:tcBorders>
              <w:top w:val="single" w:sz="4" w:space="0" w:color="FFFFFF"/>
              <w:left w:val="nil"/>
              <w:bottom w:val="single" w:sz="4" w:space="0" w:color="auto"/>
              <w:right w:val="single" w:sz="4" w:space="0" w:color="FFFFFF"/>
            </w:tcBorders>
            <w:shd w:val="clear" w:color="auto" w:fill="372C74"/>
            <w:vAlign w:val="center"/>
            <w:hideMark/>
          </w:tcPr>
          <w:p w:rsidR="000817F9" w:rsidRPr="00BB4C0D" w:rsidRDefault="000817F9"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2012</w:t>
            </w:r>
          </w:p>
        </w:tc>
        <w:tc>
          <w:tcPr>
            <w:tcW w:w="441" w:type="pct"/>
            <w:tcBorders>
              <w:top w:val="single" w:sz="4" w:space="0" w:color="FFFFFF"/>
              <w:left w:val="nil"/>
              <w:bottom w:val="single" w:sz="4" w:space="0" w:color="auto"/>
              <w:right w:val="single" w:sz="4" w:space="0" w:color="FFFFFF"/>
            </w:tcBorders>
            <w:shd w:val="clear" w:color="auto" w:fill="372C74"/>
            <w:vAlign w:val="center"/>
            <w:hideMark/>
          </w:tcPr>
          <w:p w:rsidR="000817F9" w:rsidRPr="00BB4C0D" w:rsidRDefault="000817F9"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w:t>
            </w:r>
            <w:r>
              <w:rPr>
                <w:rFonts w:asciiTheme="majorHAnsi" w:eastAsia="Times New Roman" w:hAnsiTheme="majorHAnsi" w:cs="Arial"/>
                <w:b/>
                <w:bCs/>
                <w:color w:val="FFFFFF"/>
                <w:spacing w:val="0"/>
                <w:sz w:val="16"/>
                <w:szCs w:val="16"/>
                <w:lang w:bidi="ar-SA"/>
              </w:rPr>
              <w:t>13</w:t>
            </w:r>
          </w:p>
        </w:tc>
        <w:tc>
          <w:tcPr>
            <w:tcW w:w="441" w:type="pct"/>
            <w:tcBorders>
              <w:top w:val="single" w:sz="4" w:space="0" w:color="FFFFFF"/>
              <w:left w:val="nil"/>
              <w:bottom w:val="single" w:sz="4" w:space="0" w:color="auto"/>
              <w:right w:val="single" w:sz="4" w:space="0" w:color="FFFFFF"/>
            </w:tcBorders>
            <w:shd w:val="clear" w:color="auto" w:fill="372C74"/>
            <w:vAlign w:val="center"/>
            <w:hideMark/>
          </w:tcPr>
          <w:p w:rsidR="000817F9" w:rsidRPr="00BB4C0D" w:rsidRDefault="000817F9"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w:t>
            </w:r>
            <w:r>
              <w:rPr>
                <w:rFonts w:asciiTheme="majorHAnsi" w:eastAsia="Times New Roman" w:hAnsiTheme="majorHAnsi" w:cs="Arial"/>
                <w:b/>
                <w:bCs/>
                <w:color w:val="FFFFFF"/>
                <w:spacing w:val="0"/>
                <w:sz w:val="16"/>
                <w:szCs w:val="16"/>
                <w:lang w:bidi="ar-SA"/>
              </w:rPr>
              <w:t>4</w:t>
            </w:r>
          </w:p>
        </w:tc>
        <w:tc>
          <w:tcPr>
            <w:tcW w:w="441" w:type="pct"/>
            <w:tcBorders>
              <w:top w:val="single" w:sz="4" w:space="0" w:color="FFFFFF"/>
              <w:left w:val="nil"/>
              <w:bottom w:val="single" w:sz="4" w:space="0" w:color="auto"/>
              <w:right w:val="nil"/>
            </w:tcBorders>
            <w:shd w:val="clear" w:color="auto" w:fill="372C74"/>
            <w:vAlign w:val="center"/>
            <w:hideMark/>
          </w:tcPr>
          <w:p w:rsidR="000817F9" w:rsidRPr="00BB4C0D" w:rsidRDefault="000817F9"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w:t>
            </w:r>
            <w:r>
              <w:rPr>
                <w:rFonts w:asciiTheme="majorHAnsi" w:eastAsia="Times New Roman" w:hAnsiTheme="majorHAnsi" w:cs="Arial"/>
                <w:b/>
                <w:bCs/>
                <w:color w:val="FFFFFF"/>
                <w:spacing w:val="0"/>
                <w:sz w:val="16"/>
                <w:szCs w:val="16"/>
                <w:lang w:bidi="ar-SA"/>
              </w:rPr>
              <w:t>5</w:t>
            </w:r>
          </w:p>
        </w:tc>
        <w:tc>
          <w:tcPr>
            <w:tcW w:w="441" w:type="pct"/>
            <w:tcBorders>
              <w:top w:val="single" w:sz="4" w:space="0" w:color="FFFFFF"/>
              <w:left w:val="single" w:sz="4" w:space="0" w:color="FFFFFF"/>
              <w:bottom w:val="single" w:sz="4" w:space="0" w:color="auto"/>
              <w:right w:val="nil"/>
            </w:tcBorders>
            <w:shd w:val="clear" w:color="auto" w:fill="372C74"/>
            <w:vAlign w:val="center"/>
            <w:hideMark/>
          </w:tcPr>
          <w:p w:rsidR="000817F9" w:rsidRPr="00BB4C0D" w:rsidRDefault="000817F9"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w:t>
            </w:r>
            <w:r>
              <w:rPr>
                <w:rFonts w:asciiTheme="majorHAnsi" w:eastAsia="Times New Roman" w:hAnsiTheme="majorHAnsi" w:cs="Arial"/>
                <w:b/>
                <w:bCs/>
                <w:color w:val="FFFFFF"/>
                <w:spacing w:val="0"/>
                <w:sz w:val="16"/>
                <w:szCs w:val="16"/>
                <w:lang w:bidi="ar-SA"/>
              </w:rPr>
              <w:t>6</w:t>
            </w:r>
          </w:p>
        </w:tc>
      </w:tr>
      <w:tr w:rsidR="000817F9" w:rsidRPr="00BB4C0D"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BB4C0D" w:rsidRDefault="000817F9" w:rsidP="000817F9">
            <w:pPr>
              <w:spacing w:before="0" w:after="0" w:line="240" w:lineRule="auto"/>
              <w:jc w:val="left"/>
              <w:rPr>
                <w:rFonts w:asciiTheme="majorHAnsi" w:eastAsia="Times New Roman" w:hAnsiTheme="majorHAnsi" w:cs="Arial"/>
                <w:spacing w:val="0"/>
                <w:sz w:val="16"/>
                <w:szCs w:val="16"/>
                <w:lang w:bidi="ar-SA"/>
              </w:rPr>
            </w:pPr>
            <w:r w:rsidRPr="00BB4C0D">
              <w:rPr>
                <w:rFonts w:asciiTheme="majorHAnsi" w:eastAsia="Times New Roman" w:hAnsiTheme="majorHAnsi" w:cs="Arial"/>
                <w:spacing w:val="0"/>
                <w:sz w:val="16"/>
                <w:szCs w:val="16"/>
                <w:lang w:bidi="ar-SA"/>
              </w:rPr>
              <w:t>Ekonomické subjekty (podle Registru ek. subjektů)</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8 647</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8 683</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8 587</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7 526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7 242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7 224</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7 210</w:t>
            </w:r>
          </w:p>
        </w:tc>
      </w:tr>
      <w:tr w:rsidR="000817F9" w:rsidRPr="00BB4C0D"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BB4C0D" w:rsidRDefault="000817F9" w:rsidP="000817F9">
            <w:pPr>
              <w:spacing w:before="0" w:after="0" w:line="240" w:lineRule="auto"/>
              <w:ind w:firstLineChars="100" w:firstLine="160"/>
              <w:jc w:val="left"/>
              <w:rPr>
                <w:rFonts w:asciiTheme="majorHAnsi" w:eastAsia="Times New Roman" w:hAnsiTheme="majorHAnsi" w:cs="Arial"/>
                <w:spacing w:val="0"/>
                <w:sz w:val="16"/>
                <w:szCs w:val="16"/>
                <w:lang w:bidi="ar-SA"/>
              </w:rPr>
            </w:pPr>
            <w:r>
              <w:rPr>
                <w:rFonts w:asciiTheme="majorHAnsi" w:eastAsia="Times New Roman" w:hAnsiTheme="majorHAnsi" w:cs="Arial"/>
                <w:spacing w:val="0"/>
                <w:sz w:val="16"/>
                <w:szCs w:val="16"/>
                <w:lang w:bidi="ar-SA"/>
              </w:rPr>
              <w:t xml:space="preserve">podnikající </w:t>
            </w:r>
            <w:r w:rsidRPr="00BB4C0D">
              <w:rPr>
                <w:rFonts w:asciiTheme="majorHAnsi" w:eastAsia="Times New Roman" w:hAnsiTheme="majorHAnsi" w:cs="Arial"/>
                <w:spacing w:val="0"/>
                <w:sz w:val="16"/>
                <w:szCs w:val="16"/>
                <w:lang w:bidi="ar-SA"/>
              </w:rPr>
              <w:t>fyzické osoby</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6 171</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6 240</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6 176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6 158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5 927</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5 886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5 862</w:t>
            </w:r>
          </w:p>
        </w:tc>
      </w:tr>
      <w:tr w:rsidR="000817F9" w:rsidRPr="00BB4C0D"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BB4C0D" w:rsidRDefault="000817F9" w:rsidP="000817F9">
            <w:pPr>
              <w:spacing w:before="0" w:after="0" w:line="240" w:lineRule="auto"/>
              <w:ind w:firstLineChars="200" w:firstLine="320"/>
              <w:jc w:val="left"/>
              <w:rPr>
                <w:rFonts w:asciiTheme="majorHAnsi" w:eastAsia="Times New Roman" w:hAnsiTheme="majorHAnsi" w:cs="Arial"/>
                <w:spacing w:val="0"/>
                <w:sz w:val="16"/>
                <w:szCs w:val="16"/>
                <w:lang w:bidi="ar-SA"/>
              </w:rPr>
            </w:pPr>
            <w:r w:rsidRPr="00BB4C0D">
              <w:rPr>
                <w:rFonts w:asciiTheme="majorHAnsi" w:eastAsia="Times New Roman" w:hAnsiTheme="majorHAnsi" w:cs="Arial"/>
                <w:spacing w:val="0"/>
                <w:sz w:val="16"/>
                <w:szCs w:val="16"/>
                <w:lang w:bidi="ar-SA"/>
              </w:rPr>
              <w:t>z toho zemědělští podnikatelé</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28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29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29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33</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36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46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47</w:t>
            </w:r>
          </w:p>
        </w:tc>
      </w:tr>
      <w:tr w:rsidR="000817F9" w:rsidRPr="00BB4C0D"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BB4C0D" w:rsidRDefault="000817F9" w:rsidP="000817F9">
            <w:pPr>
              <w:spacing w:before="0" w:after="0" w:line="240" w:lineRule="auto"/>
              <w:ind w:firstLineChars="100" w:firstLine="160"/>
              <w:jc w:val="left"/>
              <w:rPr>
                <w:rFonts w:asciiTheme="majorHAnsi" w:eastAsia="Times New Roman" w:hAnsiTheme="majorHAnsi" w:cs="Arial"/>
                <w:spacing w:val="0"/>
                <w:sz w:val="16"/>
                <w:szCs w:val="16"/>
                <w:lang w:bidi="ar-SA"/>
              </w:rPr>
            </w:pPr>
            <w:r>
              <w:rPr>
                <w:rFonts w:asciiTheme="majorHAnsi" w:eastAsia="Times New Roman" w:hAnsiTheme="majorHAnsi" w:cs="Arial"/>
                <w:spacing w:val="0"/>
                <w:sz w:val="16"/>
                <w:szCs w:val="16"/>
                <w:lang w:bidi="ar-SA"/>
              </w:rPr>
              <w:t xml:space="preserve">podnikající </w:t>
            </w:r>
            <w:r w:rsidRPr="00BB4C0D">
              <w:rPr>
                <w:rFonts w:asciiTheme="majorHAnsi" w:eastAsia="Times New Roman" w:hAnsiTheme="majorHAnsi" w:cs="Arial"/>
                <w:spacing w:val="0"/>
                <w:sz w:val="16"/>
                <w:szCs w:val="16"/>
                <w:lang w:bidi="ar-SA"/>
              </w:rPr>
              <w:t>právnické osoby</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807</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835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838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844</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846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878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911</w:t>
            </w:r>
          </w:p>
        </w:tc>
      </w:tr>
      <w:tr w:rsidR="000817F9" w:rsidRPr="00BB4C0D"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BB4C0D" w:rsidRDefault="000817F9" w:rsidP="000817F9">
            <w:pPr>
              <w:spacing w:before="0" w:after="0" w:line="240" w:lineRule="auto"/>
              <w:ind w:firstLineChars="200" w:firstLine="320"/>
              <w:jc w:val="left"/>
              <w:rPr>
                <w:rFonts w:asciiTheme="majorHAnsi" w:eastAsia="Times New Roman" w:hAnsiTheme="majorHAnsi" w:cs="Arial"/>
                <w:spacing w:val="0"/>
                <w:sz w:val="16"/>
                <w:szCs w:val="16"/>
                <w:lang w:bidi="ar-SA"/>
              </w:rPr>
            </w:pPr>
            <w:r w:rsidRPr="00BB4C0D">
              <w:rPr>
                <w:rFonts w:asciiTheme="majorHAnsi" w:eastAsia="Times New Roman" w:hAnsiTheme="majorHAnsi" w:cs="Arial"/>
                <w:spacing w:val="0"/>
                <w:sz w:val="16"/>
                <w:szCs w:val="16"/>
                <w:lang w:bidi="ar-SA"/>
              </w:rPr>
              <w:t>z toho obchodní společnosti</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536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562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560</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563</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561</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585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17F9" w:rsidRPr="001A4B0C" w:rsidRDefault="000817F9" w:rsidP="000817F9">
            <w:pPr>
              <w:spacing w:before="0" w:after="0" w:line="240" w:lineRule="auto"/>
              <w:jc w:val="right"/>
              <w:rPr>
                <w:sz w:val="16"/>
                <w:szCs w:val="16"/>
              </w:rPr>
            </w:pPr>
            <w:r w:rsidRPr="001A4B0C">
              <w:rPr>
                <w:sz w:val="16"/>
                <w:szCs w:val="16"/>
              </w:rPr>
              <w:t>610</w:t>
            </w:r>
          </w:p>
        </w:tc>
      </w:tr>
    </w:tbl>
    <w:p w:rsidR="00E24FAE" w:rsidRDefault="00E24FAE" w:rsidP="000817F9">
      <w:pPr>
        <w:spacing w:before="0" w:after="0" w:line="240" w:lineRule="auto"/>
        <w:rPr>
          <w:rFonts w:asciiTheme="majorHAnsi" w:hAnsiTheme="majorHAnsi"/>
          <w:sz w:val="16"/>
          <w:szCs w:val="16"/>
        </w:rPr>
      </w:pPr>
      <w:r w:rsidRPr="001C4D71">
        <w:rPr>
          <w:rFonts w:asciiTheme="majorHAnsi" w:hAnsiTheme="majorHAnsi"/>
          <w:sz w:val="16"/>
          <w:szCs w:val="16"/>
        </w:rPr>
        <w:t>Zdroj: ČSÚ – veřejná databáze</w:t>
      </w:r>
    </w:p>
    <w:p w:rsidR="00A05627" w:rsidRDefault="00A05627" w:rsidP="00CB1E43">
      <w:pPr>
        <w:rPr>
          <w:rFonts w:asciiTheme="majorHAnsi" w:hAnsiTheme="majorHAnsi"/>
        </w:rPr>
      </w:pPr>
      <w:r>
        <w:rPr>
          <w:rFonts w:asciiTheme="majorHAnsi" w:hAnsiTheme="majorHAnsi"/>
        </w:rPr>
        <w:t>Uvedené počty podnikatelských subjektů je třeba v praxi zreálnit, protože skutečnou ekonomickou aktivitu vykazuje méně než poloviny z nich. Zejména se to týká fyzických osob, které mají často podnikatelské oprávnění, ale žádnou činnost nevykazují.</w:t>
      </w:r>
      <w:r w:rsidR="000817F9">
        <w:rPr>
          <w:rFonts w:asciiTheme="majorHAnsi" w:hAnsiTheme="majorHAnsi"/>
        </w:rPr>
        <w:t xml:space="preserve"> U právnických osob až na výjimky odpovídají údaje v RES skutečné ekonomické aktivitě. </w:t>
      </w:r>
    </w:p>
    <w:p w:rsidR="00510716" w:rsidRDefault="00510716" w:rsidP="00510716">
      <w:pPr>
        <w:spacing w:before="0" w:after="0" w:line="240" w:lineRule="auto"/>
        <w:rPr>
          <w:rFonts w:asciiTheme="majorHAnsi" w:hAnsiTheme="majorHAnsi"/>
          <w:sz w:val="18"/>
          <w:szCs w:val="18"/>
        </w:rPr>
      </w:pPr>
      <w:bookmarkStart w:id="67" w:name="_Toc516058985"/>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20</w:t>
      </w:r>
      <w:r w:rsidR="005B55A2" w:rsidRPr="00F42013">
        <w:rPr>
          <w:rFonts w:cs="Arial-ItalicMT"/>
          <w:b/>
          <w:bCs/>
          <w:iCs/>
          <w:color w:val="372C74"/>
          <w:spacing w:val="10"/>
          <w:sz w:val="18"/>
          <w:szCs w:val="22"/>
        </w:rPr>
        <w:fldChar w:fldCharType="end"/>
      </w:r>
      <w:r w:rsidRPr="00F42013">
        <w:rPr>
          <w:rFonts w:cs="Arial-ItalicMT"/>
          <w:iCs/>
          <w:sz w:val="18"/>
          <w:szCs w:val="18"/>
        </w:rPr>
        <w:t xml:space="preserve"> - </w:t>
      </w:r>
      <w:r w:rsidRPr="00510716">
        <w:rPr>
          <w:rFonts w:asciiTheme="majorHAnsi" w:hAnsiTheme="majorHAnsi"/>
          <w:sz w:val="18"/>
          <w:szCs w:val="18"/>
        </w:rPr>
        <w:t xml:space="preserve">Vývoj počtu ekonomických podílů v SO ORP Ostrov a v Ostrově v letech 2010 </w:t>
      </w:r>
      <w:r>
        <w:rPr>
          <w:rFonts w:asciiTheme="majorHAnsi" w:hAnsiTheme="majorHAnsi"/>
          <w:sz w:val="18"/>
          <w:szCs w:val="18"/>
        </w:rPr>
        <w:t>–</w:t>
      </w:r>
      <w:r w:rsidRPr="00510716">
        <w:rPr>
          <w:rFonts w:asciiTheme="majorHAnsi" w:hAnsiTheme="majorHAnsi"/>
          <w:sz w:val="18"/>
          <w:szCs w:val="18"/>
        </w:rPr>
        <w:t xml:space="preserve"> 2016</w:t>
      </w:r>
      <w:bookmarkEnd w:id="67"/>
    </w:p>
    <w:p w:rsidR="00510716" w:rsidRPr="00F42013" w:rsidRDefault="00510716" w:rsidP="00510716">
      <w:pPr>
        <w:spacing w:before="0" w:after="0" w:line="240" w:lineRule="auto"/>
        <w:rPr>
          <w:rFonts w:asciiTheme="majorHAnsi" w:hAnsiTheme="majorHAnsi"/>
          <w:sz w:val="18"/>
          <w:szCs w:val="18"/>
        </w:rPr>
      </w:pPr>
    </w:p>
    <w:p w:rsidR="00686C21" w:rsidRDefault="00686C21" w:rsidP="00686C21">
      <w:pPr>
        <w:spacing w:before="0" w:after="0" w:line="240" w:lineRule="auto"/>
        <w:rPr>
          <w:rFonts w:asciiTheme="majorHAnsi" w:hAnsiTheme="majorHAnsi"/>
        </w:rPr>
      </w:pPr>
      <w:r w:rsidRPr="00F26580">
        <w:rPr>
          <w:noProof/>
          <w:lang w:eastAsia="cs-CZ" w:bidi="ar-SA"/>
        </w:rPr>
        <w:drawing>
          <wp:inline distT="0" distB="0" distL="0" distR="0">
            <wp:extent cx="5913120" cy="2311497"/>
            <wp:effectExtent l="19050" t="0" r="0" b="0"/>
            <wp:docPr id="2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5913120" cy="2311497"/>
                    </a:xfrm>
                    <a:prstGeom prst="rect">
                      <a:avLst/>
                    </a:prstGeom>
                    <a:noFill/>
                    <a:ln w="9525">
                      <a:noFill/>
                      <a:miter lim="800000"/>
                      <a:headEnd/>
                      <a:tailEnd/>
                    </a:ln>
                  </pic:spPr>
                </pic:pic>
              </a:graphicData>
            </a:graphic>
          </wp:inline>
        </w:drawing>
      </w:r>
    </w:p>
    <w:p w:rsidR="00686C21" w:rsidRDefault="00686C21" w:rsidP="00686C21">
      <w:pPr>
        <w:spacing w:before="0" w:after="120"/>
        <w:rPr>
          <w:rFonts w:asciiTheme="majorHAnsi" w:hAnsiTheme="majorHAnsi"/>
          <w:sz w:val="16"/>
          <w:szCs w:val="16"/>
        </w:rPr>
      </w:pPr>
      <w:r>
        <w:rPr>
          <w:rFonts w:asciiTheme="majorHAnsi" w:hAnsiTheme="majorHAnsi"/>
          <w:sz w:val="16"/>
          <w:szCs w:val="16"/>
        </w:rPr>
        <w:t>Zdroj: ČSÚ – RES</w:t>
      </w:r>
    </w:p>
    <w:p w:rsidR="004B4C80" w:rsidRDefault="004B4C80" w:rsidP="00686C21">
      <w:pPr>
        <w:spacing w:before="0" w:after="120"/>
        <w:rPr>
          <w:rFonts w:asciiTheme="majorHAnsi" w:hAnsiTheme="majorHAnsi"/>
          <w:sz w:val="16"/>
          <w:szCs w:val="16"/>
        </w:rPr>
      </w:pPr>
    </w:p>
    <w:p w:rsidR="004B4C80" w:rsidRDefault="004B4C80" w:rsidP="00686C21">
      <w:pPr>
        <w:spacing w:before="0" w:after="120"/>
        <w:rPr>
          <w:rFonts w:asciiTheme="majorHAnsi" w:hAnsiTheme="majorHAnsi"/>
          <w:sz w:val="16"/>
          <w:szCs w:val="16"/>
        </w:rPr>
      </w:pPr>
    </w:p>
    <w:p w:rsidR="004B4C80" w:rsidRDefault="004B4C80" w:rsidP="00686C21">
      <w:pPr>
        <w:spacing w:before="0" w:after="120"/>
        <w:rPr>
          <w:rFonts w:asciiTheme="majorHAnsi" w:hAnsiTheme="majorHAnsi"/>
          <w:sz w:val="16"/>
          <w:szCs w:val="16"/>
        </w:rPr>
      </w:pPr>
    </w:p>
    <w:p w:rsidR="004B4C80" w:rsidRDefault="004B4C80" w:rsidP="00686C21">
      <w:pPr>
        <w:spacing w:before="0" w:after="120"/>
        <w:rPr>
          <w:rFonts w:asciiTheme="majorHAnsi" w:hAnsiTheme="majorHAnsi"/>
          <w:sz w:val="16"/>
          <w:szCs w:val="16"/>
        </w:rPr>
      </w:pPr>
    </w:p>
    <w:p w:rsidR="004B4C80" w:rsidRDefault="004B4C80" w:rsidP="00686C21">
      <w:pPr>
        <w:spacing w:before="0" w:after="120"/>
        <w:rPr>
          <w:rFonts w:asciiTheme="majorHAnsi" w:hAnsiTheme="majorHAnsi"/>
          <w:sz w:val="16"/>
          <w:szCs w:val="16"/>
        </w:rPr>
      </w:pPr>
    </w:p>
    <w:p w:rsidR="004B4C80" w:rsidRDefault="004B4C80" w:rsidP="00686C21">
      <w:pPr>
        <w:spacing w:before="0" w:after="120"/>
        <w:rPr>
          <w:rFonts w:asciiTheme="majorHAnsi" w:hAnsiTheme="majorHAnsi"/>
          <w:sz w:val="16"/>
          <w:szCs w:val="16"/>
        </w:rPr>
      </w:pPr>
    </w:p>
    <w:p w:rsidR="004B4C80" w:rsidRPr="004B4C80" w:rsidRDefault="004B4C80" w:rsidP="00C93878">
      <w:pPr>
        <w:spacing w:before="0" w:after="0"/>
        <w:rPr>
          <w:rFonts w:asciiTheme="minorHAnsi" w:hAnsiTheme="minorHAnsi" w:cs="Arial-ItalicMT"/>
          <w:iCs/>
          <w:sz w:val="18"/>
          <w:szCs w:val="18"/>
        </w:rPr>
      </w:pPr>
      <w:bookmarkStart w:id="68" w:name="_Toc516059018"/>
      <w:r w:rsidRPr="00684E79">
        <w:rPr>
          <w:rFonts w:asciiTheme="minorHAnsi" w:hAnsiTheme="minorHAnsi" w:cs="Arial-ItalicMT"/>
          <w:b/>
          <w:bCs/>
          <w:iCs/>
          <w:color w:val="372C74"/>
          <w:spacing w:val="10"/>
          <w:sz w:val="18"/>
          <w:szCs w:val="22"/>
        </w:rPr>
        <w:lastRenderedPageBreak/>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9</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sidRPr="000454BB">
        <w:rPr>
          <w:rFonts w:asciiTheme="minorHAnsi" w:hAnsiTheme="minorHAnsi" w:cs="Arial-ItalicMT"/>
          <w:iCs/>
          <w:sz w:val="18"/>
          <w:szCs w:val="18"/>
        </w:rPr>
        <w:t>Ekonomick</w:t>
      </w:r>
      <w:r>
        <w:rPr>
          <w:rFonts w:asciiTheme="minorHAnsi" w:hAnsiTheme="minorHAnsi" w:cs="Arial-ItalicMT"/>
          <w:iCs/>
          <w:sz w:val="18"/>
          <w:szCs w:val="18"/>
        </w:rPr>
        <w:t>y aktivní</w:t>
      </w:r>
      <w:r w:rsidRPr="000454BB">
        <w:rPr>
          <w:rFonts w:asciiTheme="minorHAnsi" w:hAnsiTheme="minorHAnsi" w:cs="Arial-ItalicMT"/>
          <w:iCs/>
          <w:sz w:val="18"/>
          <w:szCs w:val="18"/>
        </w:rPr>
        <w:t xml:space="preserve"> subjekty se sídlem na území správního obvodu</w:t>
      </w:r>
      <w:r>
        <w:rPr>
          <w:rFonts w:asciiTheme="minorHAnsi" w:hAnsiTheme="minorHAnsi" w:cs="Arial-ItalicMT"/>
          <w:iCs/>
          <w:sz w:val="18"/>
          <w:szCs w:val="18"/>
        </w:rPr>
        <w:t xml:space="preserve"> ORP Ostrov</w:t>
      </w:r>
      <w:r w:rsidRPr="000454BB">
        <w:rPr>
          <w:rFonts w:asciiTheme="minorHAnsi" w:hAnsiTheme="minorHAnsi" w:cs="Arial-ItalicMT"/>
          <w:iCs/>
          <w:sz w:val="18"/>
          <w:szCs w:val="18"/>
        </w:rPr>
        <w:t xml:space="preserve"> (stav k 31. 12.)</w:t>
      </w:r>
      <w:bookmarkEnd w:id="68"/>
    </w:p>
    <w:tbl>
      <w:tblPr>
        <w:tblpPr w:leftFromText="180" w:rightFromText="180" w:vertAnchor="text" w:horzAnchor="page" w:tblpX="1509" w:tblpY="220"/>
        <w:tblW w:w="4817" w:type="pct"/>
        <w:tblLayout w:type="fixed"/>
        <w:tblLook w:val="04A0" w:firstRow="1" w:lastRow="0" w:firstColumn="1" w:lastColumn="0" w:noHBand="0" w:noVBand="1"/>
      </w:tblPr>
      <w:tblGrid>
        <w:gridCol w:w="3511"/>
        <w:gridCol w:w="809"/>
        <w:gridCol w:w="809"/>
        <w:gridCol w:w="810"/>
        <w:gridCol w:w="810"/>
        <w:gridCol w:w="810"/>
        <w:gridCol w:w="810"/>
        <w:gridCol w:w="810"/>
      </w:tblGrid>
      <w:tr w:rsidR="004B4C80" w:rsidRPr="00BB4C0D" w:rsidTr="000817F9">
        <w:trPr>
          <w:trHeight w:val="262"/>
        </w:trPr>
        <w:tc>
          <w:tcPr>
            <w:tcW w:w="1913" w:type="pct"/>
            <w:vMerge w:val="restart"/>
            <w:tcBorders>
              <w:top w:val="single" w:sz="8" w:space="0" w:color="auto"/>
              <w:left w:val="nil"/>
              <w:bottom w:val="single" w:sz="8" w:space="0" w:color="000000"/>
              <w:right w:val="single" w:sz="4" w:space="0" w:color="FFFFFF"/>
            </w:tcBorders>
            <w:shd w:val="clear" w:color="auto" w:fill="372C74"/>
            <w:noWrap/>
            <w:vAlign w:val="center"/>
            <w:hideMark/>
          </w:tcPr>
          <w:p w:rsidR="004B4C80" w:rsidRPr="00FD3EB8" w:rsidRDefault="004B4C80" w:rsidP="000817F9">
            <w:pPr>
              <w:spacing w:before="0" w:after="0" w:line="240" w:lineRule="auto"/>
              <w:jc w:val="center"/>
              <w:rPr>
                <w:rFonts w:asciiTheme="majorHAnsi" w:eastAsia="Times New Roman" w:hAnsiTheme="majorHAnsi" w:cs="Arial"/>
                <w:i/>
                <w:color w:val="FFFFFF"/>
                <w:spacing w:val="0"/>
                <w:sz w:val="16"/>
                <w:szCs w:val="16"/>
                <w:lang w:bidi="ar-SA"/>
              </w:rPr>
            </w:pPr>
            <w:r w:rsidRPr="00FD3EB8">
              <w:rPr>
                <w:rFonts w:asciiTheme="majorHAnsi" w:eastAsia="Times New Roman" w:hAnsiTheme="majorHAnsi" w:cs="Arial"/>
                <w:i/>
                <w:color w:val="FFFFFF"/>
                <w:spacing w:val="0"/>
                <w:sz w:val="16"/>
                <w:szCs w:val="16"/>
                <w:lang w:bidi="ar-SA"/>
              </w:rPr>
              <w:t>UKAZATEL</w:t>
            </w:r>
          </w:p>
        </w:tc>
        <w:tc>
          <w:tcPr>
            <w:tcW w:w="3087" w:type="pct"/>
            <w:gridSpan w:val="7"/>
            <w:tcBorders>
              <w:top w:val="nil"/>
              <w:left w:val="nil"/>
              <w:bottom w:val="nil"/>
              <w:right w:val="nil"/>
            </w:tcBorders>
            <w:shd w:val="clear" w:color="auto" w:fill="372C74"/>
            <w:noWrap/>
            <w:vAlign w:val="center"/>
            <w:hideMark/>
          </w:tcPr>
          <w:p w:rsidR="004B4C80" w:rsidRPr="00BB4C0D" w:rsidRDefault="004B4C80"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 xml:space="preserve">SO ORP </w:t>
            </w:r>
            <w:r>
              <w:rPr>
                <w:rFonts w:asciiTheme="majorHAnsi" w:eastAsia="Times New Roman" w:hAnsiTheme="majorHAnsi" w:cs="Arial"/>
                <w:b/>
                <w:bCs/>
                <w:color w:val="FFFFFF"/>
                <w:spacing w:val="0"/>
                <w:sz w:val="16"/>
                <w:szCs w:val="16"/>
                <w:lang w:bidi="ar-SA"/>
              </w:rPr>
              <w:t>Ostrov</w:t>
            </w:r>
          </w:p>
        </w:tc>
      </w:tr>
      <w:tr w:rsidR="004B4C80" w:rsidRPr="00BB4C0D" w:rsidTr="000817F9">
        <w:trPr>
          <w:trHeight w:val="262"/>
        </w:trPr>
        <w:tc>
          <w:tcPr>
            <w:tcW w:w="1913" w:type="pct"/>
            <w:vMerge/>
            <w:tcBorders>
              <w:top w:val="single" w:sz="8" w:space="0" w:color="auto"/>
              <w:left w:val="nil"/>
              <w:bottom w:val="single" w:sz="4" w:space="0" w:color="auto"/>
              <w:right w:val="single" w:sz="4" w:space="0" w:color="FFFFFF"/>
            </w:tcBorders>
            <w:shd w:val="clear" w:color="auto" w:fill="372C74"/>
            <w:vAlign w:val="center"/>
            <w:hideMark/>
          </w:tcPr>
          <w:p w:rsidR="004B4C80" w:rsidRPr="00BB4C0D" w:rsidRDefault="004B4C80" w:rsidP="000817F9">
            <w:pPr>
              <w:spacing w:before="0" w:after="0" w:line="240" w:lineRule="auto"/>
              <w:jc w:val="left"/>
              <w:rPr>
                <w:rFonts w:asciiTheme="majorHAnsi" w:eastAsia="Times New Roman" w:hAnsiTheme="majorHAnsi" w:cs="Arial"/>
                <w:color w:val="FFFFFF"/>
                <w:spacing w:val="0"/>
                <w:sz w:val="16"/>
                <w:szCs w:val="16"/>
                <w:lang w:bidi="ar-SA"/>
              </w:rPr>
            </w:pPr>
          </w:p>
        </w:tc>
        <w:tc>
          <w:tcPr>
            <w:tcW w:w="441" w:type="pct"/>
            <w:tcBorders>
              <w:top w:val="single" w:sz="4" w:space="0" w:color="FFFFFF"/>
              <w:left w:val="nil"/>
              <w:bottom w:val="single" w:sz="4" w:space="0" w:color="auto"/>
              <w:right w:val="single" w:sz="4" w:space="0" w:color="FFFFFF"/>
            </w:tcBorders>
            <w:shd w:val="clear" w:color="auto" w:fill="372C74"/>
            <w:noWrap/>
            <w:vAlign w:val="center"/>
            <w:hideMark/>
          </w:tcPr>
          <w:p w:rsidR="004B4C80" w:rsidRPr="00BB4C0D" w:rsidRDefault="004B4C80"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2010</w:t>
            </w:r>
          </w:p>
        </w:tc>
        <w:tc>
          <w:tcPr>
            <w:tcW w:w="441" w:type="pct"/>
            <w:tcBorders>
              <w:top w:val="single" w:sz="4" w:space="0" w:color="FFFFFF"/>
              <w:left w:val="nil"/>
              <w:bottom w:val="single" w:sz="4" w:space="0" w:color="auto"/>
              <w:right w:val="single" w:sz="4" w:space="0" w:color="FFFFFF"/>
            </w:tcBorders>
            <w:shd w:val="clear" w:color="auto" w:fill="372C74"/>
            <w:noWrap/>
            <w:vAlign w:val="center"/>
            <w:hideMark/>
          </w:tcPr>
          <w:p w:rsidR="004B4C80" w:rsidRPr="00BB4C0D" w:rsidRDefault="004B4C80"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2011</w:t>
            </w:r>
          </w:p>
        </w:tc>
        <w:tc>
          <w:tcPr>
            <w:tcW w:w="441" w:type="pct"/>
            <w:tcBorders>
              <w:top w:val="single" w:sz="4" w:space="0" w:color="FFFFFF"/>
              <w:left w:val="nil"/>
              <w:bottom w:val="single" w:sz="4" w:space="0" w:color="auto"/>
              <w:right w:val="single" w:sz="4" w:space="0" w:color="FFFFFF"/>
            </w:tcBorders>
            <w:shd w:val="clear" w:color="auto" w:fill="372C74"/>
            <w:vAlign w:val="center"/>
            <w:hideMark/>
          </w:tcPr>
          <w:p w:rsidR="004B4C80" w:rsidRPr="00BB4C0D" w:rsidRDefault="004B4C80"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2012</w:t>
            </w:r>
          </w:p>
        </w:tc>
        <w:tc>
          <w:tcPr>
            <w:tcW w:w="441" w:type="pct"/>
            <w:tcBorders>
              <w:top w:val="single" w:sz="4" w:space="0" w:color="FFFFFF"/>
              <w:left w:val="nil"/>
              <w:bottom w:val="single" w:sz="4" w:space="0" w:color="auto"/>
              <w:right w:val="single" w:sz="4" w:space="0" w:color="FFFFFF"/>
            </w:tcBorders>
            <w:shd w:val="clear" w:color="auto" w:fill="372C74"/>
            <w:vAlign w:val="center"/>
            <w:hideMark/>
          </w:tcPr>
          <w:p w:rsidR="004B4C80" w:rsidRPr="00BB4C0D" w:rsidRDefault="004B4C80"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w:t>
            </w:r>
            <w:r>
              <w:rPr>
                <w:rFonts w:asciiTheme="majorHAnsi" w:eastAsia="Times New Roman" w:hAnsiTheme="majorHAnsi" w:cs="Arial"/>
                <w:b/>
                <w:bCs/>
                <w:color w:val="FFFFFF"/>
                <w:spacing w:val="0"/>
                <w:sz w:val="16"/>
                <w:szCs w:val="16"/>
                <w:lang w:bidi="ar-SA"/>
              </w:rPr>
              <w:t>13</w:t>
            </w:r>
          </w:p>
        </w:tc>
        <w:tc>
          <w:tcPr>
            <w:tcW w:w="441" w:type="pct"/>
            <w:tcBorders>
              <w:top w:val="single" w:sz="4" w:space="0" w:color="FFFFFF"/>
              <w:left w:val="nil"/>
              <w:bottom w:val="single" w:sz="4" w:space="0" w:color="auto"/>
              <w:right w:val="single" w:sz="4" w:space="0" w:color="FFFFFF"/>
            </w:tcBorders>
            <w:shd w:val="clear" w:color="auto" w:fill="372C74"/>
            <w:vAlign w:val="center"/>
            <w:hideMark/>
          </w:tcPr>
          <w:p w:rsidR="004B4C80" w:rsidRPr="00BB4C0D" w:rsidRDefault="004B4C80"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w:t>
            </w:r>
            <w:r>
              <w:rPr>
                <w:rFonts w:asciiTheme="majorHAnsi" w:eastAsia="Times New Roman" w:hAnsiTheme="majorHAnsi" w:cs="Arial"/>
                <w:b/>
                <w:bCs/>
                <w:color w:val="FFFFFF"/>
                <w:spacing w:val="0"/>
                <w:sz w:val="16"/>
                <w:szCs w:val="16"/>
                <w:lang w:bidi="ar-SA"/>
              </w:rPr>
              <w:t>4</w:t>
            </w:r>
          </w:p>
        </w:tc>
        <w:tc>
          <w:tcPr>
            <w:tcW w:w="441" w:type="pct"/>
            <w:tcBorders>
              <w:top w:val="single" w:sz="4" w:space="0" w:color="FFFFFF"/>
              <w:left w:val="nil"/>
              <w:bottom w:val="single" w:sz="4" w:space="0" w:color="auto"/>
              <w:right w:val="nil"/>
            </w:tcBorders>
            <w:shd w:val="clear" w:color="auto" w:fill="372C74"/>
            <w:vAlign w:val="center"/>
            <w:hideMark/>
          </w:tcPr>
          <w:p w:rsidR="004B4C80" w:rsidRPr="00BB4C0D" w:rsidRDefault="004B4C80"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w:t>
            </w:r>
            <w:r>
              <w:rPr>
                <w:rFonts w:asciiTheme="majorHAnsi" w:eastAsia="Times New Roman" w:hAnsiTheme="majorHAnsi" w:cs="Arial"/>
                <w:b/>
                <w:bCs/>
                <w:color w:val="FFFFFF"/>
                <w:spacing w:val="0"/>
                <w:sz w:val="16"/>
                <w:szCs w:val="16"/>
                <w:lang w:bidi="ar-SA"/>
              </w:rPr>
              <w:t>5</w:t>
            </w:r>
          </w:p>
        </w:tc>
        <w:tc>
          <w:tcPr>
            <w:tcW w:w="441" w:type="pct"/>
            <w:tcBorders>
              <w:top w:val="single" w:sz="4" w:space="0" w:color="FFFFFF"/>
              <w:left w:val="single" w:sz="4" w:space="0" w:color="FFFFFF"/>
              <w:bottom w:val="single" w:sz="4" w:space="0" w:color="auto"/>
              <w:right w:val="nil"/>
            </w:tcBorders>
            <w:shd w:val="clear" w:color="auto" w:fill="372C74"/>
            <w:vAlign w:val="center"/>
            <w:hideMark/>
          </w:tcPr>
          <w:p w:rsidR="004B4C80" w:rsidRPr="00BB4C0D" w:rsidRDefault="004B4C80"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w:t>
            </w:r>
            <w:r>
              <w:rPr>
                <w:rFonts w:asciiTheme="majorHAnsi" w:eastAsia="Times New Roman" w:hAnsiTheme="majorHAnsi" w:cs="Arial"/>
                <w:b/>
                <w:bCs/>
                <w:color w:val="FFFFFF"/>
                <w:spacing w:val="0"/>
                <w:sz w:val="16"/>
                <w:szCs w:val="16"/>
                <w:lang w:bidi="ar-SA"/>
              </w:rPr>
              <w:t>6</w:t>
            </w:r>
          </w:p>
        </w:tc>
      </w:tr>
      <w:tr w:rsidR="004B4C80" w:rsidRPr="001A4B0C"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BB4C0D" w:rsidRDefault="004B4C80" w:rsidP="000817F9">
            <w:pPr>
              <w:spacing w:before="0" w:after="0" w:line="240" w:lineRule="auto"/>
              <w:jc w:val="left"/>
              <w:rPr>
                <w:rFonts w:asciiTheme="majorHAnsi" w:eastAsia="Times New Roman" w:hAnsiTheme="majorHAnsi" w:cs="Arial"/>
                <w:spacing w:val="0"/>
                <w:sz w:val="16"/>
                <w:szCs w:val="16"/>
                <w:lang w:bidi="ar-SA"/>
              </w:rPr>
            </w:pPr>
            <w:r w:rsidRPr="00BB4C0D">
              <w:rPr>
                <w:rFonts w:asciiTheme="majorHAnsi" w:eastAsia="Times New Roman" w:hAnsiTheme="majorHAnsi" w:cs="Arial"/>
                <w:spacing w:val="0"/>
                <w:sz w:val="16"/>
                <w:szCs w:val="16"/>
                <w:lang w:bidi="ar-SA"/>
              </w:rPr>
              <w:t>Ekonomické subjekty (</w:t>
            </w:r>
            <w:r>
              <w:rPr>
                <w:rFonts w:asciiTheme="majorHAnsi" w:eastAsia="Times New Roman" w:hAnsiTheme="majorHAnsi" w:cs="Arial"/>
                <w:spacing w:val="0"/>
                <w:sz w:val="16"/>
                <w:szCs w:val="16"/>
                <w:lang w:bidi="ar-SA"/>
              </w:rPr>
              <w:t>se zjištěnou aktivitou</w:t>
            </w:r>
            <w:r w:rsidRPr="00BB4C0D">
              <w:rPr>
                <w:rFonts w:asciiTheme="majorHAnsi" w:eastAsia="Times New Roman" w:hAnsiTheme="majorHAnsi" w:cs="Arial"/>
                <w:spacing w:val="0"/>
                <w:sz w:val="16"/>
                <w:szCs w:val="16"/>
                <w:lang w:bidi="ar-SA"/>
              </w:rPr>
              <w:t>)</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A05627" w:rsidRDefault="004B4C80" w:rsidP="000817F9">
            <w:pPr>
              <w:spacing w:before="0" w:after="0" w:line="240" w:lineRule="auto"/>
              <w:jc w:val="right"/>
              <w:rPr>
                <w:sz w:val="16"/>
                <w:szCs w:val="16"/>
              </w:rPr>
            </w:pPr>
            <w:r w:rsidRPr="00A05627">
              <w:rPr>
                <w:sz w:val="16"/>
                <w:szCs w:val="16"/>
              </w:rPr>
              <w:t>3 969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A05627" w:rsidRDefault="004B4C80" w:rsidP="000817F9">
            <w:pPr>
              <w:spacing w:before="0" w:after="0" w:line="240" w:lineRule="auto"/>
              <w:jc w:val="right"/>
              <w:rPr>
                <w:sz w:val="16"/>
                <w:szCs w:val="16"/>
              </w:rPr>
            </w:pPr>
            <w:r w:rsidRPr="00A05627">
              <w:rPr>
                <w:sz w:val="16"/>
                <w:szCs w:val="16"/>
              </w:rPr>
              <w:t>3 848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A05627" w:rsidRDefault="004B4C80" w:rsidP="000817F9">
            <w:pPr>
              <w:spacing w:before="0" w:after="0" w:line="240" w:lineRule="auto"/>
              <w:jc w:val="right"/>
              <w:rPr>
                <w:sz w:val="16"/>
                <w:szCs w:val="16"/>
              </w:rPr>
            </w:pPr>
            <w:r w:rsidRPr="00A05627">
              <w:rPr>
                <w:sz w:val="16"/>
                <w:szCs w:val="16"/>
              </w:rPr>
              <w:t>3 612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A05627" w:rsidRDefault="004B4C80" w:rsidP="000817F9">
            <w:pPr>
              <w:spacing w:before="0" w:after="0" w:line="240" w:lineRule="auto"/>
              <w:jc w:val="right"/>
              <w:rPr>
                <w:sz w:val="16"/>
                <w:szCs w:val="16"/>
              </w:rPr>
            </w:pPr>
            <w:r w:rsidRPr="00A05627">
              <w:rPr>
                <w:sz w:val="16"/>
                <w:szCs w:val="16"/>
              </w:rPr>
              <w:t>3 501</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A05627" w:rsidRDefault="004B4C80" w:rsidP="000817F9">
            <w:pPr>
              <w:spacing w:before="0" w:after="0" w:line="240" w:lineRule="auto"/>
              <w:jc w:val="right"/>
              <w:rPr>
                <w:sz w:val="16"/>
                <w:szCs w:val="16"/>
              </w:rPr>
            </w:pPr>
            <w:r w:rsidRPr="00A05627">
              <w:rPr>
                <w:sz w:val="16"/>
                <w:szCs w:val="16"/>
              </w:rPr>
              <w:t>3 325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A05627" w:rsidRDefault="004B4C80" w:rsidP="000817F9">
            <w:pPr>
              <w:spacing w:before="0" w:after="0" w:line="240" w:lineRule="auto"/>
              <w:jc w:val="right"/>
              <w:rPr>
                <w:sz w:val="16"/>
                <w:szCs w:val="16"/>
              </w:rPr>
            </w:pPr>
            <w:r w:rsidRPr="00A05627">
              <w:rPr>
                <w:sz w:val="16"/>
                <w:szCs w:val="16"/>
              </w:rPr>
              <w:t>3 325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A05627" w:rsidRDefault="004B4C80" w:rsidP="000817F9">
            <w:pPr>
              <w:spacing w:before="0" w:after="0" w:line="240" w:lineRule="auto"/>
              <w:jc w:val="right"/>
              <w:rPr>
                <w:sz w:val="16"/>
                <w:szCs w:val="16"/>
              </w:rPr>
            </w:pPr>
            <w:r w:rsidRPr="00A05627">
              <w:rPr>
                <w:sz w:val="16"/>
                <w:szCs w:val="16"/>
              </w:rPr>
              <w:t>3 239</w:t>
            </w:r>
          </w:p>
        </w:tc>
      </w:tr>
      <w:tr w:rsidR="004B4C80" w:rsidRPr="001A4B0C"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left"/>
              <w:rPr>
                <w:rFonts w:asciiTheme="majorHAnsi" w:eastAsia="Times New Roman" w:hAnsiTheme="majorHAnsi" w:cs="Arial"/>
                <w:spacing w:val="0"/>
                <w:sz w:val="16"/>
                <w:szCs w:val="16"/>
                <w:lang w:bidi="ar-SA"/>
              </w:rPr>
            </w:pPr>
            <w:r w:rsidRPr="004B4C80">
              <w:rPr>
                <w:rFonts w:asciiTheme="majorHAnsi" w:eastAsia="Times New Roman" w:hAnsiTheme="majorHAnsi" w:cs="Arial"/>
                <w:spacing w:val="0"/>
                <w:sz w:val="16"/>
                <w:szCs w:val="16"/>
                <w:lang w:bidi="ar-SA"/>
              </w:rPr>
              <w:t>bez zaměstnanců</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2 724</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2 583</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2 436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2 314</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2 329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2 278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2 241</w:t>
            </w:r>
          </w:p>
        </w:tc>
      </w:tr>
      <w:tr w:rsidR="004B4C80" w:rsidRPr="001A4B0C"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left"/>
              <w:rPr>
                <w:rFonts w:asciiTheme="majorHAnsi" w:eastAsia="Times New Roman" w:hAnsiTheme="majorHAnsi" w:cs="Arial"/>
                <w:spacing w:val="0"/>
                <w:sz w:val="16"/>
                <w:szCs w:val="16"/>
                <w:lang w:bidi="ar-SA"/>
              </w:rPr>
            </w:pPr>
            <w:r w:rsidRPr="004B4C80">
              <w:rPr>
                <w:rFonts w:asciiTheme="majorHAnsi" w:eastAsia="Times New Roman" w:hAnsiTheme="majorHAnsi" w:cs="Arial"/>
                <w:spacing w:val="0"/>
                <w:sz w:val="16"/>
                <w:szCs w:val="16"/>
                <w:lang w:bidi="ar-SA"/>
              </w:rPr>
              <w:t>1 - 9 zaměstnanci (mikropodniky)</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435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418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416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406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386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398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395</w:t>
            </w:r>
          </w:p>
        </w:tc>
      </w:tr>
      <w:tr w:rsidR="004B4C80" w:rsidRPr="001A4B0C"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left"/>
              <w:rPr>
                <w:rFonts w:asciiTheme="majorHAnsi" w:eastAsia="Times New Roman" w:hAnsiTheme="majorHAnsi" w:cs="Arial"/>
                <w:spacing w:val="0"/>
                <w:sz w:val="16"/>
                <w:szCs w:val="16"/>
                <w:lang w:bidi="ar-SA"/>
              </w:rPr>
            </w:pPr>
            <w:r w:rsidRPr="004B4C80">
              <w:rPr>
                <w:rFonts w:asciiTheme="majorHAnsi" w:eastAsia="Times New Roman" w:hAnsiTheme="majorHAnsi" w:cs="Arial"/>
                <w:spacing w:val="0"/>
                <w:sz w:val="16"/>
                <w:szCs w:val="16"/>
                <w:lang w:bidi="ar-SA"/>
              </w:rPr>
              <w:t>10 - 49 zaměstnanci (malé podniky)</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73</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69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62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60</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69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71</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68</w:t>
            </w:r>
          </w:p>
        </w:tc>
      </w:tr>
      <w:tr w:rsidR="004B4C80" w:rsidRPr="001A4B0C"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left"/>
              <w:rPr>
                <w:rFonts w:asciiTheme="majorHAnsi" w:eastAsia="Times New Roman" w:hAnsiTheme="majorHAnsi" w:cs="Arial"/>
                <w:spacing w:val="0"/>
                <w:sz w:val="16"/>
                <w:szCs w:val="16"/>
                <w:lang w:bidi="ar-SA"/>
              </w:rPr>
            </w:pPr>
            <w:r w:rsidRPr="004B4C80">
              <w:rPr>
                <w:rFonts w:asciiTheme="majorHAnsi" w:eastAsia="Times New Roman" w:hAnsiTheme="majorHAnsi" w:cs="Arial"/>
                <w:spacing w:val="0"/>
                <w:sz w:val="16"/>
                <w:szCs w:val="16"/>
                <w:lang w:bidi="ar-SA"/>
              </w:rPr>
              <w:t>50 - 249 zaměstnanci (střední podniky)</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19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18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18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17</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16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15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18</w:t>
            </w:r>
          </w:p>
        </w:tc>
      </w:tr>
      <w:tr w:rsidR="004B4C80" w:rsidRPr="001A4B0C"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left"/>
              <w:rPr>
                <w:rFonts w:asciiTheme="majorHAnsi" w:eastAsia="Times New Roman" w:hAnsiTheme="majorHAnsi" w:cs="Arial"/>
                <w:spacing w:val="0"/>
                <w:sz w:val="16"/>
                <w:szCs w:val="16"/>
                <w:lang w:bidi="ar-SA"/>
              </w:rPr>
            </w:pPr>
            <w:r w:rsidRPr="004B4C80">
              <w:rPr>
                <w:rFonts w:asciiTheme="majorHAnsi" w:eastAsia="Times New Roman" w:hAnsiTheme="majorHAnsi" w:cs="Arial"/>
                <w:spacing w:val="0"/>
                <w:sz w:val="16"/>
                <w:szCs w:val="16"/>
                <w:lang w:bidi="ar-SA"/>
              </w:rPr>
              <w:t>250 a více zaměstnanci (velké podniky)</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3</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3</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4C80" w:rsidRPr="004B4C80" w:rsidRDefault="004B4C80" w:rsidP="000817F9">
            <w:pPr>
              <w:spacing w:before="0" w:after="0" w:line="240" w:lineRule="auto"/>
              <w:jc w:val="right"/>
              <w:rPr>
                <w:sz w:val="16"/>
                <w:szCs w:val="16"/>
              </w:rPr>
            </w:pPr>
            <w:r w:rsidRPr="004B4C80">
              <w:rPr>
                <w:sz w:val="16"/>
                <w:szCs w:val="16"/>
              </w:rPr>
              <w:t>3</w:t>
            </w:r>
          </w:p>
        </w:tc>
      </w:tr>
      <w:tr w:rsidR="004B4C80" w:rsidRPr="001A4B0C" w:rsidTr="000817F9">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left"/>
              <w:rPr>
                <w:rFonts w:asciiTheme="majorHAnsi" w:eastAsia="Times New Roman" w:hAnsiTheme="majorHAnsi" w:cs="Arial"/>
                <w:spacing w:val="0"/>
                <w:sz w:val="16"/>
                <w:szCs w:val="16"/>
                <w:lang w:bidi="ar-SA"/>
              </w:rPr>
            </w:pPr>
            <w:r w:rsidRPr="004B4C80">
              <w:rPr>
                <w:rFonts w:asciiTheme="majorHAnsi" w:eastAsia="Times New Roman" w:hAnsiTheme="majorHAnsi" w:cs="Arial"/>
                <w:spacing w:val="0"/>
                <w:sz w:val="16"/>
                <w:szCs w:val="16"/>
                <w:lang w:bidi="ar-SA"/>
              </w:rPr>
              <w:t>nezjištěno</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715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757</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678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702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523</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561</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4C80" w:rsidRPr="004B4C80" w:rsidRDefault="004B4C80" w:rsidP="000817F9">
            <w:pPr>
              <w:spacing w:before="0" w:after="0" w:line="240" w:lineRule="auto"/>
              <w:jc w:val="right"/>
              <w:rPr>
                <w:sz w:val="16"/>
                <w:szCs w:val="16"/>
              </w:rPr>
            </w:pPr>
            <w:r w:rsidRPr="004B4C80">
              <w:rPr>
                <w:sz w:val="16"/>
                <w:szCs w:val="16"/>
              </w:rPr>
              <w:t>514</w:t>
            </w:r>
          </w:p>
        </w:tc>
      </w:tr>
    </w:tbl>
    <w:p w:rsidR="004B4C80" w:rsidRPr="00A05627" w:rsidRDefault="004B4C80" w:rsidP="004B4C80">
      <w:pPr>
        <w:spacing w:before="0" w:after="120"/>
        <w:rPr>
          <w:rFonts w:asciiTheme="majorHAnsi" w:hAnsiTheme="majorHAnsi"/>
          <w:sz w:val="16"/>
          <w:szCs w:val="16"/>
        </w:rPr>
      </w:pPr>
      <w:r w:rsidRPr="00A05627">
        <w:rPr>
          <w:rFonts w:asciiTheme="majorHAnsi" w:hAnsiTheme="majorHAnsi"/>
          <w:sz w:val="16"/>
          <w:szCs w:val="16"/>
        </w:rPr>
        <w:t>Zdroj: ČSÚ – veřejná databáze</w:t>
      </w:r>
    </w:p>
    <w:p w:rsidR="00686C21" w:rsidRDefault="00686C21" w:rsidP="00C93878">
      <w:pPr>
        <w:spacing w:before="0" w:after="0"/>
        <w:rPr>
          <w:rFonts w:asciiTheme="majorHAnsi" w:hAnsiTheme="majorHAnsi"/>
        </w:rPr>
      </w:pPr>
      <w:bookmarkStart w:id="69" w:name="_Toc516059019"/>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10</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686C21">
        <w:rPr>
          <w:rFonts w:asciiTheme="minorHAnsi" w:hAnsiTheme="minorHAnsi" w:cs="Arial-ItalicMT"/>
          <w:iCs/>
          <w:sz w:val="18"/>
          <w:szCs w:val="18"/>
        </w:rPr>
        <w:t xml:space="preserve">Podíl ekonomických subjektů podle vybraných odvětví ekonomické činnosti ve správním obvodu (%) </w:t>
      </w:r>
      <w:r w:rsidRPr="000454BB">
        <w:rPr>
          <w:rFonts w:asciiTheme="minorHAnsi" w:hAnsiTheme="minorHAnsi" w:cs="Arial-ItalicMT"/>
          <w:iCs/>
          <w:sz w:val="18"/>
          <w:szCs w:val="18"/>
        </w:rPr>
        <w:t>(</w:t>
      </w:r>
      <w:r>
        <w:rPr>
          <w:rFonts w:asciiTheme="minorHAnsi" w:hAnsiTheme="minorHAnsi" w:cs="Arial-ItalicMT"/>
          <w:iCs/>
          <w:sz w:val="18"/>
          <w:szCs w:val="18"/>
        </w:rPr>
        <w:t>su</w:t>
      </w:r>
      <w:r w:rsidR="00240AB0">
        <w:rPr>
          <w:rFonts w:asciiTheme="minorHAnsi" w:hAnsiTheme="minorHAnsi" w:cs="Arial-ItalicMT"/>
          <w:iCs/>
          <w:sz w:val="18"/>
          <w:szCs w:val="18"/>
        </w:rPr>
        <w:t>bjekty ekonomicky aktivní</w:t>
      </w:r>
      <w:r w:rsidRPr="000454BB">
        <w:rPr>
          <w:rFonts w:asciiTheme="minorHAnsi" w:hAnsiTheme="minorHAnsi" w:cs="Arial-ItalicMT"/>
          <w:iCs/>
          <w:sz w:val="18"/>
          <w:szCs w:val="18"/>
        </w:rPr>
        <w:t xml:space="preserve"> k 31. 12.)</w:t>
      </w:r>
      <w:bookmarkEnd w:id="69"/>
    </w:p>
    <w:tbl>
      <w:tblPr>
        <w:tblpPr w:leftFromText="180" w:rightFromText="180" w:vertAnchor="text" w:horzAnchor="page" w:tblpX="1509" w:tblpY="220"/>
        <w:tblW w:w="4817" w:type="pct"/>
        <w:tblLayout w:type="fixed"/>
        <w:tblLook w:val="04A0" w:firstRow="1" w:lastRow="0" w:firstColumn="1" w:lastColumn="0" w:noHBand="0" w:noVBand="1"/>
      </w:tblPr>
      <w:tblGrid>
        <w:gridCol w:w="3511"/>
        <w:gridCol w:w="809"/>
        <w:gridCol w:w="809"/>
        <w:gridCol w:w="810"/>
        <w:gridCol w:w="810"/>
        <w:gridCol w:w="810"/>
        <w:gridCol w:w="810"/>
        <w:gridCol w:w="810"/>
      </w:tblGrid>
      <w:tr w:rsidR="00686C21" w:rsidRPr="00BB4C0D" w:rsidTr="000817F9">
        <w:trPr>
          <w:trHeight w:val="262"/>
        </w:trPr>
        <w:tc>
          <w:tcPr>
            <w:tcW w:w="1913" w:type="pct"/>
            <w:vMerge w:val="restart"/>
            <w:tcBorders>
              <w:top w:val="single" w:sz="8" w:space="0" w:color="auto"/>
              <w:left w:val="nil"/>
              <w:bottom w:val="single" w:sz="8" w:space="0" w:color="000000"/>
              <w:right w:val="single" w:sz="4" w:space="0" w:color="FFFFFF"/>
            </w:tcBorders>
            <w:shd w:val="clear" w:color="auto" w:fill="372C74"/>
            <w:noWrap/>
            <w:vAlign w:val="center"/>
            <w:hideMark/>
          </w:tcPr>
          <w:p w:rsidR="00686C21" w:rsidRPr="00FD3EB8" w:rsidRDefault="00686C21" w:rsidP="000817F9">
            <w:pPr>
              <w:spacing w:before="0" w:after="0" w:line="240" w:lineRule="auto"/>
              <w:jc w:val="center"/>
              <w:rPr>
                <w:rFonts w:asciiTheme="majorHAnsi" w:eastAsia="Times New Roman" w:hAnsiTheme="majorHAnsi" w:cs="Arial"/>
                <w:i/>
                <w:color w:val="FFFFFF"/>
                <w:spacing w:val="0"/>
                <w:sz w:val="16"/>
                <w:szCs w:val="16"/>
                <w:lang w:bidi="ar-SA"/>
              </w:rPr>
            </w:pPr>
            <w:r w:rsidRPr="00FD3EB8">
              <w:rPr>
                <w:rFonts w:asciiTheme="majorHAnsi" w:eastAsia="Times New Roman" w:hAnsiTheme="majorHAnsi" w:cs="Arial"/>
                <w:i/>
                <w:color w:val="FFFFFF"/>
                <w:spacing w:val="0"/>
                <w:sz w:val="16"/>
                <w:szCs w:val="16"/>
                <w:lang w:bidi="ar-SA"/>
              </w:rPr>
              <w:t>UKAZATEL</w:t>
            </w:r>
          </w:p>
        </w:tc>
        <w:tc>
          <w:tcPr>
            <w:tcW w:w="3087" w:type="pct"/>
            <w:gridSpan w:val="7"/>
            <w:tcBorders>
              <w:top w:val="nil"/>
              <w:left w:val="nil"/>
              <w:bottom w:val="nil"/>
              <w:right w:val="nil"/>
            </w:tcBorders>
            <w:shd w:val="clear" w:color="auto" w:fill="372C74"/>
            <w:noWrap/>
            <w:vAlign w:val="center"/>
            <w:hideMark/>
          </w:tcPr>
          <w:p w:rsidR="00686C21" w:rsidRPr="00BB4C0D" w:rsidRDefault="00686C21"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 xml:space="preserve">SO ORP </w:t>
            </w:r>
            <w:r>
              <w:rPr>
                <w:rFonts w:asciiTheme="majorHAnsi" w:eastAsia="Times New Roman" w:hAnsiTheme="majorHAnsi" w:cs="Arial"/>
                <w:b/>
                <w:bCs/>
                <w:color w:val="FFFFFF"/>
                <w:spacing w:val="0"/>
                <w:sz w:val="16"/>
                <w:szCs w:val="16"/>
                <w:lang w:bidi="ar-SA"/>
              </w:rPr>
              <w:t>Ostrov</w:t>
            </w:r>
          </w:p>
        </w:tc>
      </w:tr>
      <w:tr w:rsidR="00686C21" w:rsidRPr="00BB4C0D" w:rsidTr="000817F9">
        <w:trPr>
          <w:trHeight w:val="262"/>
        </w:trPr>
        <w:tc>
          <w:tcPr>
            <w:tcW w:w="1913" w:type="pct"/>
            <w:vMerge/>
            <w:tcBorders>
              <w:top w:val="single" w:sz="8" w:space="0" w:color="auto"/>
              <w:left w:val="nil"/>
              <w:bottom w:val="single" w:sz="4" w:space="0" w:color="auto"/>
              <w:right w:val="single" w:sz="4" w:space="0" w:color="FFFFFF"/>
            </w:tcBorders>
            <w:shd w:val="clear" w:color="auto" w:fill="372C74"/>
            <w:vAlign w:val="center"/>
            <w:hideMark/>
          </w:tcPr>
          <w:p w:rsidR="00686C21" w:rsidRPr="00BB4C0D" w:rsidRDefault="00686C21" w:rsidP="000817F9">
            <w:pPr>
              <w:spacing w:before="0" w:after="0" w:line="240" w:lineRule="auto"/>
              <w:jc w:val="left"/>
              <w:rPr>
                <w:rFonts w:asciiTheme="majorHAnsi" w:eastAsia="Times New Roman" w:hAnsiTheme="majorHAnsi" w:cs="Arial"/>
                <w:color w:val="FFFFFF"/>
                <w:spacing w:val="0"/>
                <w:sz w:val="16"/>
                <w:szCs w:val="16"/>
                <w:lang w:bidi="ar-SA"/>
              </w:rPr>
            </w:pPr>
          </w:p>
        </w:tc>
        <w:tc>
          <w:tcPr>
            <w:tcW w:w="441" w:type="pct"/>
            <w:tcBorders>
              <w:top w:val="single" w:sz="4" w:space="0" w:color="FFFFFF"/>
              <w:left w:val="nil"/>
              <w:bottom w:val="single" w:sz="4" w:space="0" w:color="auto"/>
              <w:right w:val="single" w:sz="4" w:space="0" w:color="FFFFFF"/>
            </w:tcBorders>
            <w:shd w:val="clear" w:color="auto" w:fill="372C74"/>
            <w:noWrap/>
            <w:vAlign w:val="center"/>
            <w:hideMark/>
          </w:tcPr>
          <w:p w:rsidR="00686C21" w:rsidRPr="00BB4C0D" w:rsidRDefault="00686C21"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2010</w:t>
            </w:r>
          </w:p>
        </w:tc>
        <w:tc>
          <w:tcPr>
            <w:tcW w:w="441" w:type="pct"/>
            <w:tcBorders>
              <w:top w:val="single" w:sz="4" w:space="0" w:color="FFFFFF"/>
              <w:left w:val="nil"/>
              <w:bottom w:val="single" w:sz="4" w:space="0" w:color="auto"/>
              <w:right w:val="single" w:sz="4" w:space="0" w:color="FFFFFF"/>
            </w:tcBorders>
            <w:shd w:val="clear" w:color="auto" w:fill="372C74"/>
            <w:noWrap/>
            <w:vAlign w:val="center"/>
            <w:hideMark/>
          </w:tcPr>
          <w:p w:rsidR="00686C21" w:rsidRPr="00BB4C0D" w:rsidRDefault="00686C21"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2011</w:t>
            </w:r>
          </w:p>
        </w:tc>
        <w:tc>
          <w:tcPr>
            <w:tcW w:w="441" w:type="pct"/>
            <w:tcBorders>
              <w:top w:val="single" w:sz="4" w:space="0" w:color="FFFFFF"/>
              <w:left w:val="nil"/>
              <w:bottom w:val="single" w:sz="4" w:space="0" w:color="auto"/>
              <w:right w:val="single" w:sz="4" w:space="0" w:color="FFFFFF"/>
            </w:tcBorders>
            <w:shd w:val="clear" w:color="auto" w:fill="372C74"/>
            <w:vAlign w:val="center"/>
            <w:hideMark/>
          </w:tcPr>
          <w:p w:rsidR="00686C21" w:rsidRPr="00BB4C0D" w:rsidRDefault="00686C21"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2012</w:t>
            </w:r>
          </w:p>
        </w:tc>
        <w:tc>
          <w:tcPr>
            <w:tcW w:w="441" w:type="pct"/>
            <w:tcBorders>
              <w:top w:val="single" w:sz="4" w:space="0" w:color="FFFFFF"/>
              <w:left w:val="nil"/>
              <w:bottom w:val="single" w:sz="4" w:space="0" w:color="auto"/>
              <w:right w:val="single" w:sz="4" w:space="0" w:color="FFFFFF"/>
            </w:tcBorders>
            <w:shd w:val="clear" w:color="auto" w:fill="372C74"/>
            <w:vAlign w:val="center"/>
            <w:hideMark/>
          </w:tcPr>
          <w:p w:rsidR="00686C21" w:rsidRPr="00BB4C0D" w:rsidRDefault="00686C21"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w:t>
            </w:r>
            <w:r>
              <w:rPr>
                <w:rFonts w:asciiTheme="majorHAnsi" w:eastAsia="Times New Roman" w:hAnsiTheme="majorHAnsi" w:cs="Arial"/>
                <w:b/>
                <w:bCs/>
                <w:color w:val="FFFFFF"/>
                <w:spacing w:val="0"/>
                <w:sz w:val="16"/>
                <w:szCs w:val="16"/>
                <w:lang w:bidi="ar-SA"/>
              </w:rPr>
              <w:t>13</w:t>
            </w:r>
          </w:p>
        </w:tc>
        <w:tc>
          <w:tcPr>
            <w:tcW w:w="441" w:type="pct"/>
            <w:tcBorders>
              <w:top w:val="single" w:sz="4" w:space="0" w:color="FFFFFF"/>
              <w:left w:val="nil"/>
              <w:bottom w:val="single" w:sz="4" w:space="0" w:color="auto"/>
              <w:right w:val="single" w:sz="4" w:space="0" w:color="FFFFFF"/>
            </w:tcBorders>
            <w:shd w:val="clear" w:color="auto" w:fill="372C74"/>
            <w:vAlign w:val="center"/>
            <w:hideMark/>
          </w:tcPr>
          <w:p w:rsidR="00686C21" w:rsidRPr="00BB4C0D" w:rsidRDefault="00686C21"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w:t>
            </w:r>
            <w:r>
              <w:rPr>
                <w:rFonts w:asciiTheme="majorHAnsi" w:eastAsia="Times New Roman" w:hAnsiTheme="majorHAnsi" w:cs="Arial"/>
                <w:b/>
                <w:bCs/>
                <w:color w:val="FFFFFF"/>
                <w:spacing w:val="0"/>
                <w:sz w:val="16"/>
                <w:szCs w:val="16"/>
                <w:lang w:bidi="ar-SA"/>
              </w:rPr>
              <w:t>4</w:t>
            </w:r>
          </w:p>
        </w:tc>
        <w:tc>
          <w:tcPr>
            <w:tcW w:w="441" w:type="pct"/>
            <w:tcBorders>
              <w:top w:val="single" w:sz="4" w:space="0" w:color="FFFFFF"/>
              <w:left w:val="nil"/>
              <w:bottom w:val="single" w:sz="4" w:space="0" w:color="auto"/>
              <w:right w:val="nil"/>
            </w:tcBorders>
            <w:shd w:val="clear" w:color="auto" w:fill="372C74"/>
            <w:vAlign w:val="center"/>
            <w:hideMark/>
          </w:tcPr>
          <w:p w:rsidR="00686C21" w:rsidRPr="00BB4C0D" w:rsidRDefault="00686C21"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w:t>
            </w:r>
            <w:r>
              <w:rPr>
                <w:rFonts w:asciiTheme="majorHAnsi" w:eastAsia="Times New Roman" w:hAnsiTheme="majorHAnsi" w:cs="Arial"/>
                <w:b/>
                <w:bCs/>
                <w:color w:val="FFFFFF"/>
                <w:spacing w:val="0"/>
                <w:sz w:val="16"/>
                <w:szCs w:val="16"/>
                <w:lang w:bidi="ar-SA"/>
              </w:rPr>
              <w:t>5</w:t>
            </w:r>
          </w:p>
        </w:tc>
        <w:tc>
          <w:tcPr>
            <w:tcW w:w="441" w:type="pct"/>
            <w:tcBorders>
              <w:top w:val="single" w:sz="4" w:space="0" w:color="FFFFFF"/>
              <w:left w:val="single" w:sz="4" w:space="0" w:color="FFFFFF"/>
              <w:bottom w:val="single" w:sz="4" w:space="0" w:color="auto"/>
              <w:right w:val="nil"/>
            </w:tcBorders>
            <w:shd w:val="clear" w:color="auto" w:fill="372C74"/>
            <w:vAlign w:val="center"/>
            <w:hideMark/>
          </w:tcPr>
          <w:p w:rsidR="00686C21" w:rsidRPr="00BB4C0D" w:rsidRDefault="00686C21" w:rsidP="000817F9">
            <w:pPr>
              <w:spacing w:before="0" w:after="0" w:line="240" w:lineRule="auto"/>
              <w:jc w:val="center"/>
              <w:rPr>
                <w:rFonts w:asciiTheme="majorHAnsi" w:eastAsia="Times New Roman" w:hAnsiTheme="majorHAnsi" w:cs="Arial"/>
                <w:b/>
                <w:bCs/>
                <w:color w:val="FFFFFF"/>
                <w:spacing w:val="0"/>
                <w:sz w:val="16"/>
                <w:szCs w:val="16"/>
                <w:lang w:bidi="ar-SA"/>
              </w:rPr>
            </w:pPr>
            <w:r w:rsidRPr="00BB4C0D">
              <w:rPr>
                <w:rFonts w:asciiTheme="majorHAnsi" w:eastAsia="Times New Roman" w:hAnsiTheme="majorHAnsi" w:cs="Arial"/>
                <w:b/>
                <w:bCs/>
                <w:color w:val="FFFFFF"/>
                <w:spacing w:val="0"/>
                <w:sz w:val="16"/>
                <w:szCs w:val="16"/>
                <w:lang w:bidi="ar-SA"/>
              </w:rPr>
              <w:t>201</w:t>
            </w:r>
            <w:r>
              <w:rPr>
                <w:rFonts w:asciiTheme="majorHAnsi" w:eastAsia="Times New Roman" w:hAnsiTheme="majorHAnsi" w:cs="Arial"/>
                <w:b/>
                <w:bCs/>
                <w:color w:val="FFFFFF"/>
                <w:spacing w:val="0"/>
                <w:sz w:val="16"/>
                <w:szCs w:val="16"/>
                <w:lang w:bidi="ar-SA"/>
              </w:rPr>
              <w:t>6</w:t>
            </w:r>
          </w:p>
        </w:tc>
      </w:tr>
      <w:tr w:rsidR="00240AB0" w:rsidRPr="00BB4C0D" w:rsidTr="00240AB0">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BB4C0D" w:rsidRDefault="00240AB0" w:rsidP="00240AB0">
            <w:pPr>
              <w:spacing w:before="0" w:after="0" w:line="240" w:lineRule="auto"/>
              <w:rPr>
                <w:rFonts w:asciiTheme="majorHAnsi" w:eastAsia="Times New Roman" w:hAnsiTheme="majorHAnsi" w:cs="Arial"/>
                <w:spacing w:val="0"/>
                <w:sz w:val="16"/>
                <w:szCs w:val="16"/>
                <w:lang w:bidi="ar-SA"/>
              </w:rPr>
            </w:pPr>
            <w:r>
              <w:rPr>
                <w:rFonts w:ascii="Arial" w:eastAsia="Times New Roman" w:hAnsi="Arial" w:cs="Arial"/>
                <w:sz w:val="16"/>
                <w:szCs w:val="16"/>
              </w:rPr>
              <w:t>zemědělství, lesnictví a rybářství</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4,5%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4,3%</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4,4%</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4,4%</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4,6%</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4,8%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4,8%</w:t>
            </w:r>
          </w:p>
        </w:tc>
      </w:tr>
      <w:tr w:rsidR="00240AB0" w:rsidRPr="00BB4C0D" w:rsidTr="00240AB0">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BB4C0D" w:rsidRDefault="00240AB0" w:rsidP="00240AB0">
            <w:pPr>
              <w:spacing w:before="0" w:after="0" w:line="240" w:lineRule="auto"/>
              <w:rPr>
                <w:rFonts w:asciiTheme="majorHAnsi" w:eastAsia="Times New Roman" w:hAnsiTheme="majorHAnsi" w:cs="Arial"/>
                <w:spacing w:val="0"/>
                <w:sz w:val="16"/>
                <w:szCs w:val="16"/>
                <w:lang w:bidi="ar-SA"/>
              </w:rPr>
            </w:pPr>
            <w:r>
              <w:rPr>
                <w:rFonts w:ascii="Arial" w:eastAsia="Times New Roman" w:hAnsi="Arial" w:cs="Arial"/>
                <w:sz w:val="16"/>
                <w:szCs w:val="16"/>
              </w:rPr>
              <w:t>průmysl celkem</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12,4%</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12,1%</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11,5%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11,9%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11,9%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11,5%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12,3%</w:t>
            </w:r>
          </w:p>
        </w:tc>
      </w:tr>
      <w:tr w:rsidR="00240AB0" w:rsidRPr="00BB4C0D" w:rsidTr="00240AB0">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BB4C0D" w:rsidRDefault="00240AB0" w:rsidP="00240AB0">
            <w:pPr>
              <w:spacing w:before="0" w:after="0" w:line="240" w:lineRule="auto"/>
              <w:rPr>
                <w:rFonts w:asciiTheme="majorHAnsi" w:eastAsia="Times New Roman" w:hAnsiTheme="majorHAnsi" w:cs="Arial"/>
                <w:spacing w:val="0"/>
                <w:sz w:val="16"/>
                <w:szCs w:val="16"/>
                <w:lang w:bidi="ar-SA"/>
              </w:rPr>
            </w:pPr>
            <w:r>
              <w:rPr>
                <w:rFonts w:ascii="Arial" w:eastAsia="Times New Roman" w:hAnsi="Arial" w:cs="Arial"/>
                <w:sz w:val="16"/>
                <w:szCs w:val="16"/>
              </w:rPr>
              <w:t>stavebnictví</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13,9%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13,8%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14,5%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14,8%</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14,7%</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14,9%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14,6%</w:t>
            </w:r>
          </w:p>
        </w:tc>
      </w:tr>
      <w:tr w:rsidR="00240AB0" w:rsidRPr="00BB4C0D" w:rsidTr="00240AB0">
        <w:trPr>
          <w:trHeight w:val="262"/>
        </w:trPr>
        <w:tc>
          <w:tcPr>
            <w:tcW w:w="19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BB4C0D" w:rsidRDefault="00240AB0" w:rsidP="00240AB0">
            <w:pPr>
              <w:spacing w:before="0" w:after="0" w:line="240" w:lineRule="auto"/>
              <w:rPr>
                <w:rFonts w:asciiTheme="majorHAnsi" w:eastAsia="Times New Roman" w:hAnsiTheme="majorHAnsi" w:cs="Arial"/>
                <w:spacing w:val="0"/>
                <w:sz w:val="16"/>
                <w:szCs w:val="16"/>
                <w:lang w:bidi="ar-SA"/>
              </w:rPr>
            </w:pPr>
            <w:r>
              <w:rPr>
                <w:rFonts w:ascii="Arial" w:eastAsia="Times New Roman" w:hAnsi="Arial" w:cs="Arial"/>
                <w:sz w:val="16"/>
                <w:szCs w:val="16"/>
              </w:rPr>
              <w:t>ubytování, stravování a pohostinství</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7,7%</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7,9%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8,7%</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8,2%</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9,4%</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10,4%</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0AB0" w:rsidRPr="00240AB0" w:rsidRDefault="00240AB0" w:rsidP="00240AB0">
            <w:pPr>
              <w:spacing w:before="0" w:after="0" w:line="240" w:lineRule="auto"/>
              <w:jc w:val="right"/>
              <w:rPr>
                <w:rFonts w:asciiTheme="minorHAnsi" w:hAnsiTheme="minorHAnsi" w:cs="Arial"/>
                <w:color w:val="000000"/>
                <w:sz w:val="16"/>
                <w:szCs w:val="16"/>
              </w:rPr>
            </w:pPr>
            <w:r w:rsidRPr="00240AB0">
              <w:rPr>
                <w:rFonts w:asciiTheme="minorHAnsi" w:hAnsiTheme="minorHAnsi" w:cs="Arial"/>
                <w:color w:val="000000"/>
                <w:sz w:val="16"/>
                <w:szCs w:val="16"/>
              </w:rPr>
              <w:t>10,6%</w:t>
            </w:r>
          </w:p>
        </w:tc>
      </w:tr>
    </w:tbl>
    <w:p w:rsidR="00686C21" w:rsidRDefault="00686C21" w:rsidP="00686C21">
      <w:pPr>
        <w:spacing w:before="0" w:after="120"/>
        <w:rPr>
          <w:rFonts w:asciiTheme="majorHAnsi" w:hAnsiTheme="majorHAnsi"/>
          <w:sz w:val="16"/>
          <w:szCs w:val="16"/>
        </w:rPr>
      </w:pPr>
      <w:r w:rsidRPr="001C4D71">
        <w:rPr>
          <w:rFonts w:asciiTheme="majorHAnsi" w:hAnsiTheme="majorHAnsi"/>
          <w:sz w:val="16"/>
          <w:szCs w:val="16"/>
        </w:rPr>
        <w:t>Zdroj: ČSÚ – veřejná databáze</w:t>
      </w:r>
    </w:p>
    <w:p w:rsidR="00C93878" w:rsidRDefault="00C93878" w:rsidP="00CB1E43">
      <w:pPr>
        <w:rPr>
          <w:rFonts w:asciiTheme="majorHAnsi" w:hAnsiTheme="majorHAnsi"/>
        </w:rPr>
      </w:pPr>
      <w:r>
        <w:rPr>
          <w:rFonts w:asciiTheme="majorHAnsi" w:hAnsiTheme="majorHAnsi"/>
        </w:rPr>
        <w:t>Vývoj ekonomické základny ve SO ORP Ostrov je ve struktuře relativně stabilní se zřejmým nárůstem podílu služeb cestovního ruchu.Počet firem bez zaměstnanců a mikropodniků ve sledovaném období mírně klesá, ale z porovnání údajů mezi roky 2010 a2016 se nabízí vysvětlení, že pokles je částečně odrazem přesnosti s jakou ČSÚ identifikuje ekonomicky aktivní subjekty.</w:t>
      </w:r>
    </w:p>
    <w:p w:rsidR="00CB1E43" w:rsidRPr="00BD33EA" w:rsidRDefault="00CB1E43" w:rsidP="00CB1E43">
      <w:pPr>
        <w:rPr>
          <w:rFonts w:asciiTheme="majorHAnsi" w:hAnsiTheme="majorHAnsi"/>
          <w:spacing w:val="0"/>
        </w:rPr>
      </w:pPr>
      <w:r w:rsidRPr="00BD33EA">
        <w:rPr>
          <w:rFonts w:asciiTheme="majorHAnsi" w:hAnsiTheme="majorHAnsi"/>
          <w:spacing w:val="0"/>
        </w:rPr>
        <w:t xml:space="preserve">V kontextu vývoje situace v ORP </w:t>
      </w:r>
      <w:r w:rsidR="00A17584" w:rsidRPr="00BD33EA">
        <w:rPr>
          <w:rFonts w:asciiTheme="majorHAnsi" w:hAnsiTheme="majorHAnsi"/>
          <w:spacing w:val="0"/>
        </w:rPr>
        <w:t>Ostrov</w:t>
      </w:r>
      <w:r w:rsidRPr="00BD33EA">
        <w:rPr>
          <w:rFonts w:asciiTheme="majorHAnsi" w:hAnsiTheme="majorHAnsi"/>
          <w:spacing w:val="0"/>
        </w:rPr>
        <w:t xml:space="preserve"> lze prezentovat i nejaktuálnější </w:t>
      </w:r>
      <w:r w:rsidR="00E05B9F" w:rsidRPr="00BD33EA">
        <w:rPr>
          <w:rFonts w:asciiTheme="majorHAnsi" w:hAnsiTheme="majorHAnsi"/>
          <w:spacing w:val="0"/>
        </w:rPr>
        <w:t xml:space="preserve">dostupná </w:t>
      </w:r>
      <w:r w:rsidRPr="00BD33EA">
        <w:rPr>
          <w:rFonts w:asciiTheme="majorHAnsi" w:hAnsiTheme="majorHAnsi"/>
          <w:spacing w:val="0"/>
        </w:rPr>
        <w:t xml:space="preserve">data o ekonomických subjektech registrovaných ve městě </w:t>
      </w:r>
      <w:r w:rsidR="00A17584" w:rsidRPr="00BD33EA">
        <w:rPr>
          <w:rFonts w:asciiTheme="majorHAnsi" w:hAnsiTheme="majorHAnsi"/>
          <w:spacing w:val="0"/>
        </w:rPr>
        <w:t>Ostrov</w:t>
      </w:r>
      <w:r w:rsidR="00B910F4" w:rsidRPr="00BD33EA">
        <w:rPr>
          <w:rFonts w:asciiTheme="majorHAnsi" w:hAnsiTheme="majorHAnsi"/>
          <w:spacing w:val="0"/>
        </w:rPr>
        <w:t xml:space="preserve"> a porovnat je se souměřitelnými městy v regionu.</w:t>
      </w:r>
    </w:p>
    <w:p w:rsidR="00B910F4" w:rsidRDefault="00B910F4" w:rsidP="00B910F4">
      <w:pPr>
        <w:spacing w:before="0" w:after="120"/>
        <w:rPr>
          <w:rFonts w:asciiTheme="majorHAnsi" w:hAnsiTheme="majorHAnsi"/>
        </w:rPr>
      </w:pPr>
      <w:bookmarkStart w:id="70" w:name="_Toc516059020"/>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11</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Pr>
          <w:rFonts w:asciiTheme="minorHAnsi" w:hAnsiTheme="minorHAnsi" w:cs="Arial-ItalicMT"/>
          <w:iCs/>
          <w:sz w:val="18"/>
          <w:szCs w:val="18"/>
        </w:rPr>
        <w:t>Velikostní struktura podniků v podílu na zaměstnanosti v roce 2014</w:t>
      </w:r>
      <w:bookmarkEnd w:id="70"/>
    </w:p>
    <w:tbl>
      <w:tblPr>
        <w:tblStyle w:val="Mkatabulky"/>
        <w:tblW w:w="8330" w:type="dxa"/>
        <w:tblLook w:val="04A0" w:firstRow="1" w:lastRow="0" w:firstColumn="1" w:lastColumn="0" w:noHBand="0" w:noVBand="1"/>
      </w:tblPr>
      <w:tblGrid>
        <w:gridCol w:w="2083"/>
        <w:gridCol w:w="1041"/>
        <w:gridCol w:w="1041"/>
        <w:gridCol w:w="1041"/>
        <w:gridCol w:w="1041"/>
        <w:gridCol w:w="1041"/>
        <w:gridCol w:w="1042"/>
      </w:tblGrid>
      <w:tr w:rsidR="00B910F4" w:rsidTr="003D1C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Pr>
          <w:p w:rsidR="00B910F4" w:rsidRPr="009630B5" w:rsidRDefault="00B910F4" w:rsidP="003D1C58">
            <w:pPr>
              <w:spacing w:before="0" w:after="0" w:line="240" w:lineRule="auto"/>
              <w:jc w:val="center"/>
              <w:rPr>
                <w:rFonts w:asciiTheme="minorHAnsi" w:hAnsiTheme="minorHAnsi"/>
                <w:b/>
                <w:sz w:val="18"/>
                <w:szCs w:val="18"/>
              </w:rPr>
            </w:pPr>
            <w:r>
              <w:rPr>
                <w:rFonts w:asciiTheme="minorHAnsi" w:hAnsiTheme="minorHAnsi"/>
                <w:b/>
                <w:sz w:val="18"/>
                <w:szCs w:val="18"/>
              </w:rPr>
              <w:t>město</w:t>
            </w:r>
          </w:p>
        </w:tc>
        <w:tc>
          <w:tcPr>
            <w:tcW w:w="1041" w:type="dxa"/>
          </w:tcPr>
          <w:p w:rsidR="00B910F4" w:rsidRPr="00B75E69" w:rsidRDefault="00B910F4"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do 9 zam.</w:t>
            </w:r>
          </w:p>
        </w:tc>
        <w:tc>
          <w:tcPr>
            <w:tcW w:w="1041" w:type="dxa"/>
          </w:tcPr>
          <w:p w:rsidR="00B910F4" w:rsidRPr="00B75E69" w:rsidRDefault="00B910F4"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10 až 49 zam.</w:t>
            </w:r>
          </w:p>
        </w:tc>
        <w:tc>
          <w:tcPr>
            <w:tcW w:w="1041" w:type="dxa"/>
          </w:tcPr>
          <w:p w:rsidR="00B910F4" w:rsidRPr="00B75E69" w:rsidRDefault="00B910F4"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50 až 99 zam.</w:t>
            </w:r>
          </w:p>
        </w:tc>
        <w:tc>
          <w:tcPr>
            <w:tcW w:w="1041" w:type="dxa"/>
          </w:tcPr>
          <w:p w:rsidR="00B910F4" w:rsidRPr="00B75E69" w:rsidRDefault="00B910F4"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100 až 249 zam.</w:t>
            </w:r>
          </w:p>
        </w:tc>
        <w:tc>
          <w:tcPr>
            <w:tcW w:w="1041" w:type="dxa"/>
          </w:tcPr>
          <w:p w:rsidR="00B910F4" w:rsidRPr="00B75E69" w:rsidRDefault="00B910F4"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250 až 999 zam</w:t>
            </w:r>
          </w:p>
        </w:tc>
        <w:tc>
          <w:tcPr>
            <w:tcW w:w="1042" w:type="dxa"/>
          </w:tcPr>
          <w:p w:rsidR="00B910F4" w:rsidRPr="00B75E69" w:rsidRDefault="00B910F4"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1000 a více zam.</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Aš</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13,4%</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23,6%</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32,2%</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30,8%</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Krupka</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10,8%</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6,6%</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27,7%</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10,5%</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44,4%</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Chodov</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8,9%</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15,0%</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24,4%</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51,6%</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Klášterec nad Ohří</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5,6%</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11,4%</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5,4%</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14,2%</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36,7%</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26,6%</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Bílina</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5,6%</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10,2%</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2,5%</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40,3%</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41,3%</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shd w:val="clear" w:color="auto" w:fill="D9D9D9" w:themeFill="background1" w:themeFillShade="D9"/>
            <w:vAlign w:val="bottom"/>
          </w:tcPr>
          <w:p w:rsidR="00B910F4" w:rsidRPr="009630B5" w:rsidRDefault="00B910F4" w:rsidP="003D1C58">
            <w:pPr>
              <w:spacing w:before="0" w:after="0" w:line="240" w:lineRule="auto"/>
              <w:rPr>
                <w:rFonts w:asciiTheme="minorHAnsi" w:hAnsiTheme="minorHAnsi" w:cs="Arial"/>
                <w:b/>
                <w:bCs/>
                <w:color w:val="000000"/>
                <w:sz w:val="16"/>
                <w:szCs w:val="16"/>
              </w:rPr>
            </w:pPr>
            <w:r w:rsidRPr="009630B5">
              <w:rPr>
                <w:rFonts w:asciiTheme="minorHAnsi" w:hAnsiTheme="minorHAnsi" w:cs="Arial"/>
                <w:b/>
                <w:bCs/>
                <w:color w:val="000000"/>
                <w:sz w:val="16"/>
                <w:szCs w:val="16"/>
              </w:rPr>
              <w:t>Ostrov</w:t>
            </w:r>
          </w:p>
        </w:tc>
        <w:tc>
          <w:tcPr>
            <w:tcW w:w="1041" w:type="dxa"/>
            <w:shd w:val="clear" w:color="auto" w:fill="D9D9D9" w:themeFill="background1" w:themeFillShade="D9"/>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14,5%</w:t>
            </w:r>
          </w:p>
        </w:tc>
        <w:tc>
          <w:tcPr>
            <w:tcW w:w="1041" w:type="dxa"/>
            <w:shd w:val="clear" w:color="auto" w:fill="D9D9D9" w:themeFill="background1" w:themeFillShade="D9"/>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24,4%</w:t>
            </w:r>
          </w:p>
        </w:tc>
        <w:tc>
          <w:tcPr>
            <w:tcW w:w="1041" w:type="dxa"/>
            <w:shd w:val="clear" w:color="auto" w:fill="D9D9D9" w:themeFill="background1" w:themeFillShade="D9"/>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14,2%</w:t>
            </w:r>
          </w:p>
        </w:tc>
        <w:tc>
          <w:tcPr>
            <w:tcW w:w="1041" w:type="dxa"/>
            <w:shd w:val="clear" w:color="auto" w:fill="D9D9D9" w:themeFill="background1" w:themeFillShade="D9"/>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20,6%</w:t>
            </w:r>
          </w:p>
        </w:tc>
        <w:tc>
          <w:tcPr>
            <w:tcW w:w="1041" w:type="dxa"/>
            <w:shd w:val="clear" w:color="auto" w:fill="D9D9D9" w:themeFill="background1" w:themeFillShade="D9"/>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26,3%</w:t>
            </w:r>
          </w:p>
        </w:tc>
        <w:tc>
          <w:tcPr>
            <w:tcW w:w="1042" w:type="dxa"/>
            <w:shd w:val="clear" w:color="auto" w:fill="D9D9D9" w:themeFill="background1" w:themeFillShade="D9"/>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Kadaň</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8,0%</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14,8%</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15,2%</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17,8%</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44,1%</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Louny</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17,1%</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9,7%</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18,8%</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22,4%</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32,1%</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Žatec</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14,9%</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15,0%</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11,0%</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4,8%</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54,4%</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Jirkov</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25,3%</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30,2%</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5,5%</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39,1%</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r>
      <w:tr w:rsidR="00B910F4"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910F4" w:rsidRPr="009630B5" w:rsidRDefault="00B910F4"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Sokolov</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18,9%</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31,9%</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22,2%</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c>
          <w:tcPr>
            <w:tcW w:w="1041"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27,0%</w:t>
            </w:r>
          </w:p>
        </w:tc>
        <w:tc>
          <w:tcPr>
            <w:tcW w:w="1042" w:type="dxa"/>
            <w:vAlign w:val="bottom"/>
          </w:tcPr>
          <w:p w:rsidR="00B910F4" w:rsidRPr="00B75E69" w:rsidRDefault="00B910F4"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B75E69">
              <w:rPr>
                <w:rFonts w:cs="Calibri"/>
                <w:sz w:val="16"/>
                <w:szCs w:val="16"/>
              </w:rPr>
              <w:t>0,0%</w:t>
            </w:r>
          </w:p>
        </w:tc>
      </w:tr>
    </w:tbl>
    <w:p w:rsidR="00B910F4" w:rsidRPr="008336AF" w:rsidRDefault="00B910F4" w:rsidP="00BD33EA">
      <w:pPr>
        <w:spacing w:before="0" w:after="0"/>
        <w:rPr>
          <w:sz w:val="16"/>
          <w:szCs w:val="16"/>
        </w:rPr>
      </w:pPr>
      <w:r w:rsidRPr="008336AF">
        <w:rPr>
          <w:sz w:val="16"/>
          <w:szCs w:val="16"/>
        </w:rPr>
        <w:t xml:space="preserve">Zdroj: </w:t>
      </w:r>
      <w:r w:rsidRPr="006D625A">
        <w:rPr>
          <w:sz w:val="16"/>
          <w:szCs w:val="16"/>
        </w:rPr>
        <w:t>datové podklady pro projekt TAČR OMEGA - RegioPartner 2017</w:t>
      </w:r>
    </w:p>
    <w:p w:rsidR="00980191" w:rsidRDefault="00980191" w:rsidP="00980191">
      <w:pPr>
        <w:rPr>
          <w:rFonts w:asciiTheme="majorHAnsi" w:hAnsiTheme="majorHAnsi"/>
        </w:rPr>
      </w:pPr>
      <w:r>
        <w:rPr>
          <w:rFonts w:asciiTheme="majorHAnsi" w:hAnsiTheme="majorHAnsi"/>
        </w:rPr>
        <w:t>Z hlediska stability ekonomického prostředí jsou pro analýzu důležité malé podniky a mikropodniky, z hlediska zaměstnanosti pak střední a velké podniky.</w:t>
      </w:r>
      <w:r w:rsidR="00B910F4">
        <w:rPr>
          <w:rFonts w:asciiTheme="majorHAnsi" w:hAnsiTheme="majorHAnsi"/>
        </w:rPr>
        <w:t xml:space="preserve"> V tomto s</w:t>
      </w:r>
      <w:r w:rsidR="00C93878">
        <w:rPr>
          <w:rFonts w:asciiTheme="majorHAnsi" w:hAnsiTheme="majorHAnsi"/>
        </w:rPr>
        <w:t>m</w:t>
      </w:r>
      <w:r w:rsidR="00B910F4">
        <w:rPr>
          <w:rFonts w:asciiTheme="majorHAnsi" w:hAnsiTheme="majorHAnsi"/>
        </w:rPr>
        <w:t xml:space="preserve">yslu vykazuje ekonomická základna v Ostrově velmi </w:t>
      </w:r>
      <w:r w:rsidR="00C93878">
        <w:rPr>
          <w:rFonts w:asciiTheme="majorHAnsi" w:hAnsiTheme="majorHAnsi"/>
        </w:rPr>
        <w:t>dobré</w:t>
      </w:r>
      <w:r w:rsidR="00B910F4">
        <w:rPr>
          <w:rFonts w:asciiTheme="majorHAnsi" w:hAnsiTheme="majorHAnsi"/>
        </w:rPr>
        <w:t xml:space="preserve"> </w:t>
      </w:r>
      <w:r w:rsidR="00C93878">
        <w:rPr>
          <w:rFonts w:asciiTheme="majorHAnsi" w:hAnsiTheme="majorHAnsi"/>
        </w:rPr>
        <w:t>parametry a dává předpoklady pro pozitivní ekonomický vývoj.</w:t>
      </w:r>
    </w:p>
    <w:p w:rsidR="00980191" w:rsidRDefault="00363BEE" w:rsidP="0009652D">
      <w:pPr>
        <w:rPr>
          <w:rFonts w:asciiTheme="majorHAnsi" w:hAnsiTheme="majorHAnsi"/>
        </w:rPr>
      </w:pPr>
      <w:r w:rsidRPr="00363BEE">
        <w:rPr>
          <w:rFonts w:asciiTheme="majorHAnsi" w:hAnsiTheme="majorHAnsi"/>
        </w:rPr>
        <w:lastRenderedPageBreak/>
        <w:t>V</w:t>
      </w:r>
      <w:r>
        <w:rPr>
          <w:rFonts w:asciiTheme="majorHAnsi" w:hAnsiTheme="majorHAnsi"/>
        </w:rPr>
        <w:t> </w:t>
      </w:r>
      <w:r w:rsidRPr="00363BEE">
        <w:rPr>
          <w:rFonts w:asciiTheme="majorHAnsi" w:hAnsiTheme="majorHAnsi"/>
        </w:rPr>
        <w:t>ro</w:t>
      </w:r>
      <w:r>
        <w:rPr>
          <w:rFonts w:asciiTheme="majorHAnsi" w:hAnsiTheme="majorHAnsi"/>
        </w:rPr>
        <w:t>ce 201</w:t>
      </w:r>
      <w:r w:rsidR="00980191">
        <w:rPr>
          <w:rFonts w:asciiTheme="majorHAnsi" w:hAnsiTheme="majorHAnsi"/>
        </w:rPr>
        <w:t>6</w:t>
      </w:r>
      <w:r>
        <w:rPr>
          <w:rFonts w:asciiTheme="majorHAnsi" w:hAnsiTheme="majorHAnsi"/>
        </w:rPr>
        <w:t xml:space="preserve"> m</w:t>
      </w:r>
      <w:r w:rsidR="00980191">
        <w:rPr>
          <w:rFonts w:asciiTheme="majorHAnsi" w:hAnsiTheme="majorHAnsi"/>
        </w:rPr>
        <w:t>á</w:t>
      </w:r>
      <w:r>
        <w:rPr>
          <w:rFonts w:asciiTheme="majorHAnsi" w:hAnsiTheme="majorHAnsi"/>
        </w:rPr>
        <w:t xml:space="preserve"> sídlo v </w:t>
      </w:r>
      <w:r w:rsidR="00980191">
        <w:rPr>
          <w:rFonts w:asciiTheme="majorHAnsi" w:hAnsiTheme="majorHAnsi"/>
        </w:rPr>
        <w:t>Ostrově</w:t>
      </w:r>
      <w:r>
        <w:rPr>
          <w:rFonts w:asciiTheme="majorHAnsi" w:hAnsiTheme="majorHAnsi"/>
        </w:rPr>
        <w:t xml:space="preserve"> </w:t>
      </w:r>
      <w:r w:rsidR="00980191">
        <w:rPr>
          <w:rFonts w:asciiTheme="majorHAnsi" w:hAnsiTheme="majorHAnsi"/>
        </w:rPr>
        <w:t>1</w:t>
      </w:r>
      <w:r>
        <w:rPr>
          <w:rFonts w:asciiTheme="majorHAnsi" w:hAnsiTheme="majorHAnsi"/>
        </w:rPr>
        <w:t xml:space="preserve"> podnik s více než 250</w:t>
      </w:r>
      <w:r w:rsidR="00500D13">
        <w:rPr>
          <w:rFonts w:asciiTheme="majorHAnsi" w:hAnsiTheme="majorHAnsi"/>
        </w:rPr>
        <w:t xml:space="preserve"> ti</w:t>
      </w:r>
      <w:r>
        <w:rPr>
          <w:rFonts w:asciiTheme="majorHAnsi" w:hAnsiTheme="majorHAnsi"/>
        </w:rPr>
        <w:t xml:space="preserve"> zaměstnanci a </w:t>
      </w:r>
      <w:r w:rsidR="00980191">
        <w:rPr>
          <w:rFonts w:asciiTheme="majorHAnsi" w:hAnsiTheme="majorHAnsi"/>
        </w:rPr>
        <w:t>dalších 7</w:t>
      </w:r>
      <w:r>
        <w:rPr>
          <w:rFonts w:asciiTheme="majorHAnsi" w:hAnsiTheme="majorHAnsi"/>
        </w:rPr>
        <w:t xml:space="preserve"> středních podniků</w:t>
      </w:r>
      <w:r w:rsidR="00340526">
        <w:rPr>
          <w:rFonts w:asciiTheme="majorHAnsi" w:hAnsiTheme="majorHAnsi"/>
        </w:rPr>
        <w:t xml:space="preserve"> s více než 50 ti zaměstnanci</w:t>
      </w:r>
      <w:r>
        <w:rPr>
          <w:rFonts w:asciiTheme="majorHAnsi" w:hAnsiTheme="majorHAnsi"/>
        </w:rPr>
        <w:t xml:space="preserve">. </w:t>
      </w:r>
      <w:r w:rsidR="00980191">
        <w:rPr>
          <w:rFonts w:asciiTheme="majorHAnsi" w:hAnsiTheme="majorHAnsi"/>
        </w:rPr>
        <w:t>Malých podniků působí v Ostrově několik desítek.</w:t>
      </w:r>
    </w:p>
    <w:p w:rsidR="0009652D" w:rsidRDefault="00363BEE" w:rsidP="0009652D">
      <w:pPr>
        <w:rPr>
          <w:rFonts w:asciiTheme="majorHAnsi" w:hAnsiTheme="majorHAnsi"/>
        </w:rPr>
      </w:pPr>
      <w:r>
        <w:rPr>
          <w:rFonts w:asciiTheme="majorHAnsi" w:hAnsiTheme="majorHAnsi"/>
        </w:rPr>
        <w:t xml:space="preserve">Z hlediska </w:t>
      </w:r>
      <w:r w:rsidR="0009652D">
        <w:rPr>
          <w:rFonts w:asciiTheme="majorHAnsi" w:hAnsiTheme="majorHAnsi"/>
        </w:rPr>
        <w:t xml:space="preserve">zaměstnanosti </w:t>
      </w:r>
      <w:r w:rsidR="00980191">
        <w:rPr>
          <w:rFonts w:asciiTheme="majorHAnsi" w:hAnsiTheme="majorHAnsi"/>
        </w:rPr>
        <w:t>jsou</w:t>
      </w:r>
      <w:r w:rsidR="0009652D">
        <w:rPr>
          <w:rFonts w:asciiTheme="majorHAnsi" w:hAnsiTheme="majorHAnsi"/>
        </w:rPr>
        <w:t xml:space="preserve"> nejvýznamnější</w:t>
      </w:r>
      <w:r w:rsidR="00980191">
        <w:rPr>
          <w:rFonts w:asciiTheme="majorHAnsi" w:hAnsiTheme="majorHAnsi"/>
        </w:rPr>
        <w:t>mi</w:t>
      </w:r>
      <w:r w:rsidR="0009652D">
        <w:rPr>
          <w:rFonts w:asciiTheme="majorHAnsi" w:hAnsiTheme="majorHAnsi"/>
        </w:rPr>
        <w:t xml:space="preserve"> poskytovatel</w:t>
      </w:r>
      <w:r w:rsidR="00980191">
        <w:rPr>
          <w:rFonts w:asciiTheme="majorHAnsi" w:hAnsiTheme="majorHAnsi"/>
        </w:rPr>
        <w:t>i</w:t>
      </w:r>
      <w:r w:rsidR="0009652D">
        <w:rPr>
          <w:rFonts w:asciiTheme="majorHAnsi" w:hAnsiTheme="majorHAnsi"/>
        </w:rPr>
        <w:t xml:space="preserve"> pracovních příležitostí</w:t>
      </w:r>
      <w:r w:rsidR="00980191">
        <w:rPr>
          <w:rFonts w:asciiTheme="majorHAnsi" w:hAnsiTheme="majorHAnsi"/>
        </w:rPr>
        <w:t xml:space="preserve"> tyto podniky a instituce</w:t>
      </w:r>
      <w:r w:rsidR="0009652D">
        <w:rPr>
          <w:rFonts w:asciiTheme="majorHAnsi" w:hAnsiTheme="majorHAnsi"/>
        </w:rPr>
        <w:t>:</w:t>
      </w:r>
    </w:p>
    <w:p w:rsidR="0009652D" w:rsidRPr="009F3EEB" w:rsidRDefault="0009652D" w:rsidP="00BD33EA">
      <w:pPr>
        <w:spacing w:after="120"/>
        <w:rPr>
          <w:rStyle w:val="Zdraznnintenzivn"/>
          <w:rFonts w:asciiTheme="majorHAnsi" w:hAnsiTheme="majorHAnsi"/>
        </w:rPr>
      </w:pPr>
      <w:r w:rsidRPr="009F3EEB">
        <w:rPr>
          <w:rStyle w:val="Zdraznnintenzivn"/>
          <w:rFonts w:asciiTheme="majorHAnsi" w:hAnsiTheme="majorHAnsi"/>
        </w:rPr>
        <w:t xml:space="preserve">VELKÉ </w:t>
      </w:r>
      <w:r w:rsidR="00106F7F">
        <w:rPr>
          <w:rStyle w:val="Zdraznnintenzivn"/>
          <w:rFonts w:asciiTheme="majorHAnsi" w:hAnsiTheme="majorHAnsi"/>
        </w:rPr>
        <w:t>A STŘEDNÍ P</w:t>
      </w:r>
      <w:r w:rsidRPr="009F3EEB">
        <w:rPr>
          <w:rStyle w:val="Zdraznnintenzivn"/>
          <w:rFonts w:asciiTheme="majorHAnsi" w:hAnsiTheme="majorHAnsi"/>
        </w:rPr>
        <w:t>ODNIKY:</w:t>
      </w:r>
    </w:p>
    <w:tbl>
      <w:tblPr>
        <w:tblW w:w="6440" w:type="dxa"/>
        <w:tblInd w:w="59" w:type="dxa"/>
        <w:tblCellMar>
          <w:left w:w="70" w:type="dxa"/>
          <w:right w:w="70" w:type="dxa"/>
        </w:tblCellMar>
        <w:tblLook w:val="04A0" w:firstRow="1" w:lastRow="0" w:firstColumn="1" w:lastColumn="0" w:noHBand="0" w:noVBand="1"/>
      </w:tblPr>
      <w:tblGrid>
        <w:gridCol w:w="6440"/>
      </w:tblGrid>
      <w:tr w:rsidR="00106F7F" w:rsidRPr="0009652D" w:rsidTr="0009652D">
        <w:trPr>
          <w:trHeight w:val="288"/>
        </w:trPr>
        <w:tc>
          <w:tcPr>
            <w:tcW w:w="6440" w:type="dxa"/>
            <w:tcBorders>
              <w:top w:val="nil"/>
              <w:left w:val="nil"/>
              <w:bottom w:val="nil"/>
              <w:right w:val="nil"/>
            </w:tcBorders>
            <w:shd w:val="clear" w:color="auto" w:fill="auto"/>
            <w:noWrap/>
            <w:vAlign w:val="bottom"/>
            <w:hideMark/>
          </w:tcPr>
          <w:tbl>
            <w:tblPr>
              <w:tblW w:w="6140" w:type="dxa"/>
              <w:tblCellMar>
                <w:left w:w="70" w:type="dxa"/>
                <w:right w:w="70" w:type="dxa"/>
              </w:tblCellMar>
              <w:tblLook w:val="04A0" w:firstRow="1" w:lastRow="0" w:firstColumn="1" w:lastColumn="0" w:noHBand="0" w:noVBand="1"/>
            </w:tblPr>
            <w:tblGrid>
              <w:gridCol w:w="6140"/>
            </w:tblGrid>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KE Ostrov - Elektrik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CZECH-CONT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PAPOS Trade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Lindner Türen - Fassaden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AMPHENOL-TUCHEL ELECTRONICS GmbH-organizační složka</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Westbohemia Hotels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DELA Company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Ostrovská teplárenská, a.s.</w:t>
                  </w:r>
                </w:p>
                <w:p w:rsidR="002071E5" w:rsidRDefault="002071E5" w:rsidP="00106F7F">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Witte</w:t>
                  </w:r>
                </w:p>
                <w:p w:rsidR="002071E5" w:rsidRDefault="002071E5" w:rsidP="00106F7F">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Věznice</w:t>
                  </w:r>
                </w:p>
                <w:p w:rsidR="002071E5" w:rsidRDefault="002071E5" w:rsidP="00106F7F">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Nemos Plus, s.r.o.</w:t>
                  </w:r>
                </w:p>
                <w:p w:rsidR="002071E5" w:rsidRDefault="002071E5" w:rsidP="00106F7F">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NG Elektro (resp. NG Tools)</w:t>
                  </w:r>
                </w:p>
                <w:p w:rsidR="002071E5" w:rsidRPr="00106F7F" w:rsidRDefault="002071E5" w:rsidP="00106F7F">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Renatechnik, s.r.o.</w:t>
                  </w:r>
                </w:p>
              </w:tc>
            </w:tr>
          </w:tbl>
          <w:p w:rsidR="00106F7F" w:rsidRPr="0009652D" w:rsidRDefault="00106F7F" w:rsidP="00340526">
            <w:pPr>
              <w:spacing w:before="0" w:after="0" w:line="240" w:lineRule="auto"/>
              <w:jc w:val="left"/>
              <w:rPr>
                <w:rFonts w:eastAsia="Times New Roman"/>
                <w:color w:val="000000"/>
                <w:spacing w:val="0"/>
                <w:szCs w:val="22"/>
                <w:lang w:eastAsia="cs-CZ" w:bidi="ar-SA"/>
              </w:rPr>
            </w:pPr>
          </w:p>
        </w:tc>
      </w:tr>
    </w:tbl>
    <w:p w:rsidR="0009652D" w:rsidRPr="009F3EEB" w:rsidRDefault="00106F7F" w:rsidP="00BD33EA">
      <w:pPr>
        <w:spacing w:after="120"/>
        <w:rPr>
          <w:rStyle w:val="Zdraznnintenzivn"/>
          <w:rFonts w:asciiTheme="majorHAnsi" w:hAnsiTheme="majorHAnsi"/>
        </w:rPr>
      </w:pPr>
      <w:r>
        <w:rPr>
          <w:rStyle w:val="Zdraznnintenzivn"/>
          <w:rFonts w:asciiTheme="majorHAnsi" w:hAnsiTheme="majorHAnsi"/>
        </w:rPr>
        <w:t xml:space="preserve">MALÉ </w:t>
      </w:r>
      <w:r w:rsidR="0009652D" w:rsidRPr="009F3EEB">
        <w:rPr>
          <w:rStyle w:val="Zdraznnintenzivn"/>
          <w:rFonts w:asciiTheme="majorHAnsi" w:hAnsiTheme="majorHAnsi"/>
        </w:rPr>
        <w:t>PODNIKY</w:t>
      </w:r>
      <w:r>
        <w:rPr>
          <w:rStyle w:val="Zdraznnintenzivn"/>
          <w:rFonts w:asciiTheme="majorHAnsi" w:hAnsiTheme="majorHAnsi"/>
        </w:rPr>
        <w:t xml:space="preserve"> (s min. 25 zaměstnanci)</w:t>
      </w:r>
      <w:r w:rsidR="0009652D" w:rsidRPr="009F3EEB">
        <w:rPr>
          <w:rStyle w:val="Zdraznnintenzivn"/>
          <w:rFonts w:asciiTheme="majorHAnsi" w:hAnsiTheme="majorHAnsi"/>
        </w:rPr>
        <w:t>:</w:t>
      </w:r>
    </w:p>
    <w:tbl>
      <w:tblPr>
        <w:tblW w:w="8599" w:type="dxa"/>
        <w:tblInd w:w="59" w:type="dxa"/>
        <w:tblCellMar>
          <w:left w:w="70" w:type="dxa"/>
          <w:right w:w="70" w:type="dxa"/>
        </w:tblCellMar>
        <w:tblLook w:val="04A0" w:firstRow="1" w:lastRow="0" w:firstColumn="1" w:lastColumn="0" w:noHBand="0" w:noVBand="1"/>
      </w:tblPr>
      <w:tblGrid>
        <w:gridCol w:w="8599"/>
      </w:tblGrid>
      <w:tr w:rsidR="0009652D" w:rsidRPr="0009652D" w:rsidTr="0009652D">
        <w:trPr>
          <w:trHeight w:val="288"/>
        </w:trPr>
        <w:tc>
          <w:tcPr>
            <w:tcW w:w="8599" w:type="dxa"/>
            <w:tcBorders>
              <w:top w:val="nil"/>
              <w:left w:val="nil"/>
              <w:bottom w:val="nil"/>
              <w:right w:val="nil"/>
            </w:tcBorders>
            <w:shd w:val="clear" w:color="auto" w:fill="auto"/>
            <w:noWrap/>
            <w:vAlign w:val="bottom"/>
            <w:hideMark/>
          </w:tcPr>
          <w:tbl>
            <w:tblPr>
              <w:tblW w:w="6140" w:type="dxa"/>
              <w:tblCellMar>
                <w:left w:w="70" w:type="dxa"/>
                <w:right w:w="70" w:type="dxa"/>
              </w:tblCellMar>
              <w:tblLook w:val="04A0" w:firstRow="1" w:lastRow="0" w:firstColumn="1" w:lastColumn="0" w:noHBand="0" w:noVBand="1"/>
            </w:tblPr>
            <w:tblGrid>
              <w:gridCol w:w="6140"/>
            </w:tblGrid>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BPO spol. s 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Koncept FAST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HABEZ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Nickelmann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J.P.L. LEŠENÍ s.r.o.</w:t>
                  </w:r>
                </w:p>
              </w:tc>
            </w:tr>
            <w:tr w:rsidR="00106F7F" w:rsidRPr="00106F7F" w:rsidTr="00106F7F">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106F7F">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TUNA - Production, s.r.o.</w:t>
                  </w:r>
                </w:p>
              </w:tc>
            </w:tr>
          </w:tbl>
          <w:p w:rsidR="0009652D" w:rsidRPr="0009652D" w:rsidRDefault="0009652D" w:rsidP="00340526">
            <w:pPr>
              <w:spacing w:before="0" w:after="0" w:line="240" w:lineRule="auto"/>
              <w:jc w:val="left"/>
              <w:rPr>
                <w:rFonts w:eastAsia="Times New Roman"/>
                <w:color w:val="000000"/>
                <w:spacing w:val="0"/>
                <w:szCs w:val="22"/>
                <w:lang w:eastAsia="cs-CZ" w:bidi="ar-SA"/>
              </w:rPr>
            </w:pPr>
          </w:p>
        </w:tc>
      </w:tr>
      <w:tr w:rsidR="0009652D" w:rsidRPr="0009652D" w:rsidTr="0009652D">
        <w:trPr>
          <w:trHeight w:val="288"/>
        </w:trPr>
        <w:tc>
          <w:tcPr>
            <w:tcW w:w="8599" w:type="dxa"/>
            <w:tcBorders>
              <w:top w:val="nil"/>
              <w:left w:val="nil"/>
              <w:bottom w:val="nil"/>
              <w:right w:val="nil"/>
            </w:tcBorders>
            <w:shd w:val="clear" w:color="auto" w:fill="auto"/>
            <w:noWrap/>
            <w:vAlign w:val="bottom"/>
            <w:hideMark/>
          </w:tcPr>
          <w:tbl>
            <w:tblPr>
              <w:tblW w:w="6140" w:type="dxa"/>
              <w:tblCellMar>
                <w:left w:w="70" w:type="dxa"/>
                <w:right w:w="70" w:type="dxa"/>
              </w:tblCellMar>
              <w:tblLook w:val="04A0" w:firstRow="1" w:lastRow="0" w:firstColumn="1" w:lastColumn="0" w:noHBand="0" w:noVBand="1"/>
            </w:tblPr>
            <w:tblGrid>
              <w:gridCol w:w="6140"/>
            </w:tblGrid>
            <w:tr w:rsidR="00106F7F" w:rsidRPr="00106F7F" w:rsidTr="004C0B9D">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4C0B9D">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Petr Osička</w:t>
                  </w:r>
                </w:p>
              </w:tc>
            </w:tr>
            <w:tr w:rsidR="00106F7F" w:rsidRPr="00106F7F" w:rsidTr="004C0B9D">
              <w:trPr>
                <w:trHeight w:val="255"/>
              </w:trPr>
              <w:tc>
                <w:tcPr>
                  <w:tcW w:w="6140" w:type="dxa"/>
                  <w:tcBorders>
                    <w:top w:val="nil"/>
                    <w:left w:val="nil"/>
                    <w:bottom w:val="nil"/>
                    <w:right w:val="nil"/>
                  </w:tcBorders>
                  <w:shd w:val="clear" w:color="auto" w:fill="auto"/>
                  <w:noWrap/>
                  <w:vAlign w:val="bottom"/>
                  <w:hideMark/>
                </w:tcPr>
                <w:p w:rsidR="00106F7F" w:rsidRPr="00106F7F" w:rsidRDefault="00106F7F" w:rsidP="004C0B9D">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Jiří Čermák</w:t>
                  </w:r>
                </w:p>
              </w:tc>
            </w:tr>
            <w:tr w:rsidR="00106F7F" w:rsidRPr="00106F7F" w:rsidTr="004C0B9D">
              <w:trPr>
                <w:trHeight w:val="255"/>
              </w:trPr>
              <w:tc>
                <w:tcPr>
                  <w:tcW w:w="6140" w:type="dxa"/>
                  <w:tcBorders>
                    <w:top w:val="nil"/>
                    <w:left w:val="nil"/>
                    <w:bottom w:val="nil"/>
                    <w:right w:val="nil"/>
                  </w:tcBorders>
                  <w:shd w:val="clear" w:color="auto" w:fill="auto"/>
                  <w:noWrap/>
                  <w:vAlign w:val="bottom"/>
                  <w:hideMark/>
                </w:tcPr>
                <w:p w:rsidR="00106F7F" w:rsidRDefault="00106F7F" w:rsidP="004C0B9D">
                  <w:pPr>
                    <w:spacing w:before="0" w:after="0" w:line="240" w:lineRule="auto"/>
                    <w:jc w:val="left"/>
                    <w:rPr>
                      <w:rFonts w:eastAsia="Times New Roman"/>
                      <w:color w:val="000000"/>
                      <w:spacing w:val="0"/>
                      <w:szCs w:val="22"/>
                      <w:lang w:eastAsia="cs-CZ" w:bidi="ar-SA"/>
                    </w:rPr>
                  </w:pPr>
                  <w:r w:rsidRPr="00106F7F">
                    <w:rPr>
                      <w:rFonts w:eastAsia="Times New Roman"/>
                      <w:color w:val="000000"/>
                      <w:spacing w:val="0"/>
                      <w:szCs w:val="22"/>
                      <w:lang w:eastAsia="cs-CZ" w:bidi="ar-SA"/>
                    </w:rPr>
                    <w:t>Sabina Fialková</w:t>
                  </w:r>
                </w:p>
                <w:p w:rsidR="002071E5" w:rsidRDefault="002071E5" w:rsidP="004C0B9D">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Rescom</w:t>
                  </w:r>
                </w:p>
                <w:p w:rsidR="002071E5" w:rsidRDefault="002071E5" w:rsidP="004C0B9D">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Marius Pedersen</w:t>
                  </w:r>
                </w:p>
                <w:p w:rsidR="002071E5" w:rsidRDefault="002071E5" w:rsidP="004C0B9D">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Šugar stavební</w:t>
                  </w:r>
                </w:p>
                <w:p w:rsidR="002071E5" w:rsidRDefault="002071E5" w:rsidP="004C0B9D">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Hippman stavební</w:t>
                  </w:r>
                </w:p>
                <w:p w:rsidR="002071E5" w:rsidRDefault="002071E5" w:rsidP="004C0B9D">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S.V.I. Rubicon</w:t>
                  </w:r>
                </w:p>
                <w:p w:rsidR="002071E5" w:rsidRDefault="002071E5" w:rsidP="004C0B9D">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M-tec CZ</w:t>
                  </w:r>
                </w:p>
                <w:p w:rsidR="002071E5" w:rsidRDefault="002071E5" w:rsidP="004C0B9D">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Profitech Food</w:t>
                  </w:r>
                </w:p>
                <w:p w:rsidR="002071E5" w:rsidRPr="00106F7F" w:rsidRDefault="002071E5" w:rsidP="004C0B9D">
                  <w:pPr>
                    <w:spacing w:before="0" w:after="0" w:line="240" w:lineRule="auto"/>
                    <w:jc w:val="left"/>
                    <w:rPr>
                      <w:rFonts w:eastAsia="Times New Roman"/>
                      <w:color w:val="000000"/>
                      <w:spacing w:val="0"/>
                      <w:szCs w:val="22"/>
                      <w:lang w:eastAsia="cs-CZ" w:bidi="ar-SA"/>
                    </w:rPr>
                  </w:pPr>
                  <w:r>
                    <w:rPr>
                      <w:rFonts w:eastAsia="Times New Roman"/>
                      <w:color w:val="000000"/>
                      <w:spacing w:val="0"/>
                      <w:szCs w:val="22"/>
                      <w:lang w:eastAsia="cs-CZ" w:bidi="ar-SA"/>
                    </w:rPr>
                    <w:t>Koruna Pralines</w:t>
                  </w:r>
                </w:p>
              </w:tc>
            </w:tr>
          </w:tbl>
          <w:p w:rsidR="0009652D" w:rsidRPr="0009652D" w:rsidRDefault="0009652D" w:rsidP="0009652D">
            <w:pPr>
              <w:spacing w:before="0" w:after="0" w:line="240" w:lineRule="auto"/>
              <w:jc w:val="left"/>
              <w:rPr>
                <w:rFonts w:eastAsia="Times New Roman"/>
                <w:color w:val="000000"/>
                <w:spacing w:val="0"/>
                <w:szCs w:val="22"/>
                <w:lang w:eastAsia="cs-CZ" w:bidi="ar-SA"/>
              </w:rPr>
            </w:pPr>
          </w:p>
        </w:tc>
      </w:tr>
    </w:tbl>
    <w:p w:rsidR="0009652D" w:rsidRDefault="0009652D" w:rsidP="00BD33EA">
      <w:pPr>
        <w:spacing w:after="120"/>
        <w:rPr>
          <w:rStyle w:val="Zdraznnintenzivn"/>
          <w:rFonts w:asciiTheme="majorHAnsi" w:hAnsiTheme="majorHAnsi"/>
        </w:rPr>
      </w:pPr>
      <w:r w:rsidRPr="009F3EEB">
        <w:rPr>
          <w:rStyle w:val="Zdraznnintenzivn"/>
          <w:rFonts w:asciiTheme="majorHAnsi" w:hAnsiTheme="majorHAnsi"/>
        </w:rPr>
        <w:t>INSTITUCE</w:t>
      </w:r>
      <w:r w:rsidR="001041F1" w:rsidRPr="001041F1">
        <w:rPr>
          <w:rStyle w:val="Zdraznnintenzivn"/>
          <w:rFonts w:asciiTheme="majorHAnsi" w:hAnsiTheme="majorHAnsi"/>
        </w:rPr>
        <w:t xml:space="preserve"> </w:t>
      </w:r>
      <w:r w:rsidR="001041F1" w:rsidRPr="009F3EEB">
        <w:rPr>
          <w:rStyle w:val="Zdraznnintenzivn"/>
          <w:rFonts w:asciiTheme="majorHAnsi" w:hAnsiTheme="majorHAnsi"/>
        </w:rPr>
        <w:t>A</w:t>
      </w:r>
      <w:r w:rsidR="001041F1" w:rsidRPr="001041F1">
        <w:rPr>
          <w:rStyle w:val="Zdraznnintenzivn"/>
          <w:rFonts w:asciiTheme="majorHAnsi" w:hAnsiTheme="majorHAnsi"/>
        </w:rPr>
        <w:t xml:space="preserve"> </w:t>
      </w:r>
      <w:r w:rsidR="001041F1" w:rsidRPr="009F3EEB">
        <w:rPr>
          <w:rStyle w:val="Zdraznnintenzivn"/>
          <w:rFonts w:asciiTheme="majorHAnsi" w:hAnsiTheme="majorHAnsi"/>
        </w:rPr>
        <w:t>ŠKOLY</w:t>
      </w:r>
      <w:r w:rsidRPr="009F3EEB">
        <w:rPr>
          <w:rStyle w:val="Zdraznnintenzivn"/>
          <w:rFonts w:asciiTheme="majorHAnsi" w:hAnsiTheme="majorHAnsi"/>
        </w:rPr>
        <w:t>:</w:t>
      </w:r>
    </w:p>
    <w:tbl>
      <w:tblPr>
        <w:tblW w:w="8599" w:type="dxa"/>
        <w:tblInd w:w="59" w:type="dxa"/>
        <w:tblCellMar>
          <w:left w:w="70" w:type="dxa"/>
          <w:right w:w="70" w:type="dxa"/>
        </w:tblCellMar>
        <w:tblLook w:val="04A0" w:firstRow="1" w:lastRow="0" w:firstColumn="1" w:lastColumn="0" w:noHBand="0" w:noVBand="1"/>
      </w:tblPr>
      <w:tblGrid>
        <w:gridCol w:w="8599"/>
      </w:tblGrid>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Město Ostrov</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Dům kultury Ostrov</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Střední průmyslová škola Ostrov</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Gymnázium Ostrov</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Základní škola Josefa Václava Myslbeka a Mateřská škola Ostrov</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lastRenderedPageBreak/>
              <w:t>Základní škola Ostrov, Májová 997</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Základní škola Ostrov, Masarykova 1289</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Základní umělecká škola Ostrov</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Základní škola praktická a základní škola speciální Ostrov</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Mateřská škola Ostrov, Masarykova 1195</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Mateřská škola Ostrov, Halasova 765</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Mateřská škola Ostrov, Krušnohorská 766</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Mateřská škola Ostrov, Palackého 1045</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Dětský domov Karlovy Vary a Ostrov</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Městský dům dětí a mládeže Ostrov</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Městská knihovna Ostrov, příspěvková organizace</w:t>
            </w:r>
          </w:p>
        </w:tc>
      </w:tr>
      <w:tr w:rsidR="000B5269" w:rsidRPr="00106F7F" w:rsidTr="000B5269">
        <w:trPr>
          <w:trHeight w:val="288"/>
        </w:trPr>
        <w:tc>
          <w:tcPr>
            <w:tcW w:w="8599" w:type="dxa"/>
            <w:tcBorders>
              <w:top w:val="nil"/>
              <w:left w:val="nil"/>
              <w:bottom w:val="nil"/>
              <w:right w:val="nil"/>
            </w:tcBorders>
            <w:shd w:val="clear" w:color="auto" w:fill="auto"/>
            <w:noWrap/>
            <w:vAlign w:val="bottom"/>
            <w:hideMark/>
          </w:tcPr>
          <w:p w:rsidR="000B5269" w:rsidRPr="000B5269" w:rsidRDefault="000B5269" w:rsidP="000B5269">
            <w:pPr>
              <w:spacing w:before="0" w:after="0" w:line="240" w:lineRule="auto"/>
            </w:pPr>
            <w:r w:rsidRPr="000B5269">
              <w:t>Oblastní charita Ostrov</w:t>
            </w:r>
          </w:p>
        </w:tc>
      </w:tr>
    </w:tbl>
    <w:p w:rsidR="00CB1E43" w:rsidRPr="00543A89" w:rsidRDefault="00C93F52" w:rsidP="00CB1E43">
      <w:pPr>
        <w:pStyle w:val="Nadpis6"/>
        <w:rPr>
          <w:rFonts w:asciiTheme="majorHAnsi" w:hAnsiTheme="majorHAnsi"/>
        </w:rPr>
      </w:pPr>
      <w:r>
        <w:rPr>
          <w:rFonts w:asciiTheme="majorHAnsi" w:hAnsiTheme="majorHAnsi"/>
        </w:rPr>
        <w:t>Charakteristiky sektorů hospodářství</w:t>
      </w:r>
    </w:p>
    <w:p w:rsidR="00C93F52" w:rsidRDefault="00C93F52" w:rsidP="00500D13">
      <w:pPr>
        <w:rPr>
          <w:rFonts w:asciiTheme="majorHAnsi" w:hAnsiTheme="majorHAnsi"/>
        </w:rPr>
      </w:pPr>
      <w:r>
        <w:rPr>
          <w:rFonts w:asciiTheme="majorHAnsi" w:hAnsiTheme="majorHAnsi"/>
        </w:rPr>
        <w:t xml:space="preserve">Analýza velikostní struktury ekonomických subjektů se sídlem ve městě </w:t>
      </w:r>
      <w:r w:rsidR="00363034">
        <w:rPr>
          <w:rFonts w:asciiTheme="majorHAnsi" w:hAnsiTheme="majorHAnsi"/>
        </w:rPr>
        <w:t>Ostrov</w:t>
      </w:r>
      <w:r>
        <w:rPr>
          <w:rFonts w:asciiTheme="majorHAnsi" w:hAnsiTheme="majorHAnsi"/>
        </w:rPr>
        <w:t xml:space="preserve"> není jediným analytickým přístupem pro zkoumání ekonomické situace. Další možností je analyzovat a porovnávat výkonové charakteristiky (počet pracovníků, výkony nebo vytvořenou účetní přidanou hodnotu</w:t>
      </w:r>
      <w:r w:rsidR="00363034">
        <w:rPr>
          <w:rFonts w:asciiTheme="majorHAnsi" w:hAnsiTheme="majorHAnsi"/>
        </w:rPr>
        <w:t>)</w:t>
      </w:r>
      <w:r>
        <w:rPr>
          <w:rFonts w:asciiTheme="majorHAnsi" w:hAnsiTheme="majorHAnsi"/>
        </w:rPr>
        <w:t>. Do analýzy byly zahrnuty následující sektory (sekce podle klasifikace CZ-NACE</w:t>
      </w:r>
      <w:r w:rsidR="00BD33EA">
        <w:rPr>
          <w:rFonts w:asciiTheme="majorHAnsi" w:hAnsiTheme="majorHAnsi"/>
        </w:rPr>
        <w:t>)</w:t>
      </w:r>
      <w:r>
        <w:rPr>
          <w:rFonts w:asciiTheme="majorHAnsi" w:hAnsiTheme="majorHAnsi"/>
        </w:rPr>
        <w:t>:</w:t>
      </w:r>
    </w:p>
    <w:p w:rsidR="000454BB" w:rsidRPr="000454BB" w:rsidRDefault="000454BB" w:rsidP="000454BB">
      <w:pPr>
        <w:spacing w:before="0" w:after="120"/>
        <w:rPr>
          <w:rFonts w:asciiTheme="minorHAnsi" w:hAnsiTheme="minorHAnsi" w:cs="Arial-ItalicMT"/>
          <w:iCs/>
          <w:sz w:val="18"/>
          <w:szCs w:val="18"/>
        </w:rPr>
      </w:pPr>
      <w:bookmarkStart w:id="71" w:name="_Toc516059021"/>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12</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0454BB">
        <w:rPr>
          <w:rFonts w:asciiTheme="minorHAnsi" w:hAnsiTheme="minorHAnsi" w:cs="Arial-ItalicMT"/>
          <w:iCs/>
          <w:sz w:val="18"/>
          <w:szCs w:val="18"/>
        </w:rPr>
        <w:t xml:space="preserve">Porovnání objemu a výkonnosti sektorů hospodářství v </w:t>
      </w:r>
      <w:r w:rsidR="00363034">
        <w:rPr>
          <w:rFonts w:asciiTheme="minorHAnsi" w:hAnsiTheme="minorHAnsi" w:cs="Arial-ItalicMT"/>
          <w:iCs/>
          <w:sz w:val="18"/>
          <w:szCs w:val="18"/>
        </w:rPr>
        <w:t>Ostrově</w:t>
      </w:r>
      <w:r w:rsidRPr="000454BB">
        <w:rPr>
          <w:rFonts w:asciiTheme="minorHAnsi" w:hAnsiTheme="minorHAnsi" w:cs="Arial-ItalicMT"/>
          <w:iCs/>
          <w:sz w:val="18"/>
          <w:szCs w:val="18"/>
        </w:rPr>
        <w:t xml:space="preserve"> v roce 201</w:t>
      </w:r>
      <w:r w:rsidR="00363034">
        <w:rPr>
          <w:rFonts w:asciiTheme="minorHAnsi" w:hAnsiTheme="minorHAnsi" w:cs="Arial-ItalicMT"/>
          <w:iCs/>
          <w:sz w:val="18"/>
          <w:szCs w:val="18"/>
        </w:rPr>
        <w:t>4</w:t>
      </w:r>
      <w:bookmarkEnd w:id="71"/>
    </w:p>
    <w:tbl>
      <w:tblPr>
        <w:tblStyle w:val="Mkatabulky"/>
        <w:tblW w:w="0" w:type="auto"/>
        <w:tblLook w:val="04A0" w:firstRow="1" w:lastRow="0" w:firstColumn="1" w:lastColumn="0" w:noHBand="0" w:noVBand="1"/>
      </w:tblPr>
      <w:tblGrid>
        <w:gridCol w:w="4077"/>
        <w:gridCol w:w="1757"/>
        <w:gridCol w:w="1757"/>
        <w:gridCol w:w="1757"/>
      </w:tblGrid>
      <w:tr w:rsidR="00D57E09" w:rsidRPr="00D57E09" w:rsidTr="00565D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D57E09" w:rsidRPr="00B910F4" w:rsidRDefault="00D57E09" w:rsidP="00B910F4">
            <w:pPr>
              <w:spacing w:before="0" w:after="0" w:line="240" w:lineRule="auto"/>
              <w:jc w:val="center"/>
              <w:rPr>
                <w:rFonts w:asciiTheme="minorHAnsi" w:hAnsiTheme="minorHAnsi" w:cs="Arial-ItalicMT"/>
                <w:b/>
                <w:bCs/>
                <w:iCs/>
                <w:color w:val="FFFFFF" w:themeColor="background1"/>
                <w:spacing w:val="10"/>
                <w:sz w:val="18"/>
                <w:szCs w:val="18"/>
              </w:rPr>
            </w:pPr>
            <w:r w:rsidRPr="00B910F4">
              <w:rPr>
                <w:rFonts w:asciiTheme="minorHAnsi" w:hAnsiTheme="minorHAnsi" w:cs="Arial-ItalicMT"/>
                <w:b/>
                <w:bCs/>
                <w:iCs/>
                <w:color w:val="FFFFFF" w:themeColor="background1"/>
                <w:spacing w:val="10"/>
                <w:sz w:val="18"/>
                <w:szCs w:val="18"/>
              </w:rPr>
              <w:t>Ekonomické subjekty podle CZ-NACE</w:t>
            </w:r>
          </w:p>
        </w:tc>
        <w:tc>
          <w:tcPr>
            <w:tcW w:w="1757" w:type="dxa"/>
            <w:vAlign w:val="bottom"/>
          </w:tcPr>
          <w:p w:rsidR="00D57E09" w:rsidRPr="00B910F4" w:rsidRDefault="00D57E09" w:rsidP="00B910F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bCs/>
                <w:color w:val="FFFFFF"/>
                <w:sz w:val="18"/>
                <w:szCs w:val="18"/>
              </w:rPr>
            </w:pPr>
            <w:r w:rsidRPr="00B910F4">
              <w:rPr>
                <w:rFonts w:ascii="Calibri" w:hAnsi="Calibri"/>
                <w:b/>
                <w:bCs/>
                <w:color w:val="FFFFFF"/>
                <w:sz w:val="18"/>
                <w:szCs w:val="18"/>
              </w:rPr>
              <w:t>počet pracovníků</w:t>
            </w:r>
          </w:p>
        </w:tc>
        <w:tc>
          <w:tcPr>
            <w:tcW w:w="1757" w:type="dxa"/>
            <w:vAlign w:val="bottom"/>
          </w:tcPr>
          <w:p w:rsidR="00D57E09" w:rsidRPr="00B910F4" w:rsidRDefault="00D57E09" w:rsidP="00B910F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bCs/>
                <w:color w:val="FFFFFF"/>
                <w:sz w:val="18"/>
                <w:szCs w:val="18"/>
              </w:rPr>
            </w:pPr>
            <w:r w:rsidRPr="00B910F4">
              <w:rPr>
                <w:rFonts w:ascii="Calibri" w:hAnsi="Calibri"/>
                <w:b/>
                <w:bCs/>
                <w:color w:val="FFFFFF"/>
                <w:sz w:val="18"/>
                <w:szCs w:val="18"/>
              </w:rPr>
              <w:t xml:space="preserve">výkony </w:t>
            </w:r>
          </w:p>
        </w:tc>
        <w:tc>
          <w:tcPr>
            <w:tcW w:w="1757" w:type="dxa"/>
            <w:vAlign w:val="bottom"/>
          </w:tcPr>
          <w:p w:rsidR="00D57E09" w:rsidRPr="00B910F4" w:rsidRDefault="00D57E09" w:rsidP="00B910F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bCs/>
                <w:color w:val="FFFFFF"/>
                <w:sz w:val="18"/>
                <w:szCs w:val="18"/>
              </w:rPr>
            </w:pPr>
            <w:r w:rsidRPr="00B910F4">
              <w:rPr>
                <w:rFonts w:ascii="Calibri" w:hAnsi="Calibri"/>
                <w:b/>
                <w:bCs/>
                <w:color w:val="FFFFFF"/>
                <w:sz w:val="18"/>
                <w:szCs w:val="18"/>
              </w:rPr>
              <w:t xml:space="preserve">přidaná hodnota </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A - zemědělství, lesnictví a rybářství</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0,0%</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0,1%</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0,3%</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C - zpracovatelský průmysl</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66,2%</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74,2%</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66,4%</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F - stavebnictví</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6,6%</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7,8%</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8,6%</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H - doprava a skladování</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1,4%</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2,0%</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2,2%</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I - ubytování, stravování a pohostinství</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6,0%</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3,1%</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3,9%</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J - informační a komunikační činnosti</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1,0%</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1,5%</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1,6%</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K - peněžnictví a pojišťovnictví</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0,0%</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0,3%</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0,4%</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L - činnosti v oblasti nemovitostí</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3,0%</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2,1%</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2,5%</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M - profesní, vědecké a technické činnosti</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9,5%</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6,7%</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10,1%</w:t>
            </w:r>
          </w:p>
        </w:tc>
      </w:tr>
      <w:tr w:rsidR="00B910F4" w:rsidRPr="0093404C" w:rsidTr="003D1C58">
        <w:tc>
          <w:tcPr>
            <w:cnfStyle w:val="001000000000" w:firstRow="0" w:lastRow="0" w:firstColumn="1" w:lastColumn="0" w:oddVBand="0" w:evenVBand="0" w:oddHBand="0" w:evenHBand="0" w:firstRowFirstColumn="0" w:firstRowLastColumn="0" w:lastRowFirstColumn="0" w:lastRowLastColumn="0"/>
            <w:tcW w:w="4077" w:type="dxa"/>
            <w:vAlign w:val="bottom"/>
          </w:tcPr>
          <w:p w:rsidR="00B910F4" w:rsidRPr="00B910F4" w:rsidRDefault="00B910F4" w:rsidP="00565D31">
            <w:pPr>
              <w:spacing w:before="0" w:after="0" w:line="240" w:lineRule="auto"/>
              <w:jc w:val="left"/>
              <w:rPr>
                <w:rFonts w:eastAsia="Times New Roman"/>
                <w:color w:val="000000"/>
                <w:spacing w:val="0"/>
                <w:sz w:val="16"/>
                <w:szCs w:val="16"/>
                <w:lang w:eastAsia="cs-CZ" w:bidi="ar-SA"/>
              </w:rPr>
            </w:pPr>
            <w:r w:rsidRPr="00B910F4">
              <w:rPr>
                <w:rFonts w:eastAsia="Times New Roman"/>
                <w:color w:val="000000"/>
                <w:spacing w:val="0"/>
                <w:sz w:val="16"/>
                <w:szCs w:val="16"/>
                <w:lang w:eastAsia="cs-CZ" w:bidi="ar-SA"/>
              </w:rPr>
              <w:t>N - administrativní a podpůrné činnosti</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6,2%</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2,2%</w:t>
            </w:r>
          </w:p>
        </w:tc>
        <w:tc>
          <w:tcPr>
            <w:tcW w:w="1757" w:type="dxa"/>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910F4">
              <w:rPr>
                <w:rFonts w:ascii="Arial" w:hAnsi="Arial" w:cs="Arial"/>
                <w:sz w:val="16"/>
                <w:szCs w:val="16"/>
              </w:rPr>
              <w:t>4,0%</w:t>
            </w:r>
          </w:p>
        </w:tc>
      </w:tr>
      <w:tr w:rsidR="00B910F4" w:rsidRPr="00D57E09" w:rsidTr="003D1C58">
        <w:tc>
          <w:tcPr>
            <w:cnfStyle w:val="001000000000" w:firstRow="0" w:lastRow="0" w:firstColumn="1" w:lastColumn="0" w:oddVBand="0" w:evenVBand="0" w:oddHBand="0" w:evenHBand="0" w:firstRowFirstColumn="0" w:firstRowLastColumn="0" w:lastRowFirstColumn="0" w:lastRowLastColumn="0"/>
            <w:tcW w:w="4077" w:type="dxa"/>
            <w:tcBorders>
              <w:bottom w:val="single" w:sz="4" w:space="0" w:color="auto"/>
            </w:tcBorders>
          </w:tcPr>
          <w:p w:rsidR="00B910F4" w:rsidRPr="00B910F4" w:rsidRDefault="00B910F4" w:rsidP="00565D31">
            <w:pPr>
              <w:spacing w:before="0" w:after="0"/>
              <w:jc w:val="center"/>
              <w:rPr>
                <w:rFonts w:asciiTheme="minorHAnsi" w:hAnsiTheme="minorHAnsi" w:cs="Arial-ItalicMT"/>
                <w:b/>
                <w:bCs/>
                <w:iCs/>
                <w:color w:val="auto"/>
                <w:spacing w:val="10"/>
                <w:sz w:val="16"/>
                <w:szCs w:val="16"/>
              </w:rPr>
            </w:pPr>
            <w:r w:rsidRPr="00B910F4">
              <w:rPr>
                <w:rFonts w:asciiTheme="minorHAnsi" w:hAnsiTheme="minorHAnsi" w:cs="Arial-ItalicMT"/>
                <w:b/>
                <w:bCs/>
                <w:iCs/>
                <w:color w:val="auto"/>
                <w:spacing w:val="10"/>
                <w:sz w:val="16"/>
                <w:szCs w:val="16"/>
              </w:rPr>
              <w:t>sledované sekce NACE</w:t>
            </w:r>
          </w:p>
        </w:tc>
        <w:tc>
          <w:tcPr>
            <w:tcW w:w="1757" w:type="dxa"/>
            <w:tcBorders>
              <w:bottom w:val="single" w:sz="4" w:space="0" w:color="auto"/>
            </w:tcBorders>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sidRPr="00B910F4">
              <w:rPr>
                <w:rFonts w:ascii="Arial" w:hAnsi="Arial" w:cs="Arial"/>
                <w:b/>
                <w:sz w:val="16"/>
                <w:szCs w:val="16"/>
              </w:rPr>
              <w:t>100,0%</w:t>
            </w:r>
          </w:p>
        </w:tc>
        <w:tc>
          <w:tcPr>
            <w:tcW w:w="1757" w:type="dxa"/>
            <w:tcBorders>
              <w:bottom w:val="single" w:sz="4" w:space="0" w:color="auto"/>
            </w:tcBorders>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sidRPr="00B910F4">
              <w:rPr>
                <w:rFonts w:ascii="Arial" w:hAnsi="Arial" w:cs="Arial"/>
                <w:b/>
                <w:sz w:val="16"/>
                <w:szCs w:val="16"/>
              </w:rPr>
              <w:t>100,0%</w:t>
            </w:r>
          </w:p>
        </w:tc>
        <w:tc>
          <w:tcPr>
            <w:tcW w:w="1757" w:type="dxa"/>
            <w:tcBorders>
              <w:bottom w:val="single" w:sz="4" w:space="0" w:color="auto"/>
            </w:tcBorders>
            <w:vAlign w:val="bottom"/>
          </w:tcPr>
          <w:p w:rsidR="00B910F4" w:rsidRPr="00B910F4" w:rsidRDefault="00B910F4" w:rsidP="00B910F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sidRPr="00B910F4">
              <w:rPr>
                <w:rFonts w:ascii="Arial" w:hAnsi="Arial" w:cs="Arial"/>
                <w:b/>
                <w:sz w:val="16"/>
                <w:szCs w:val="16"/>
              </w:rPr>
              <w:t>100,0%</w:t>
            </w:r>
          </w:p>
        </w:tc>
      </w:tr>
    </w:tbl>
    <w:p w:rsidR="00D57E09" w:rsidRDefault="00D57E09" w:rsidP="00D57E09">
      <w:pPr>
        <w:spacing w:before="0" w:after="120"/>
        <w:rPr>
          <w:rFonts w:asciiTheme="majorHAnsi" w:hAnsiTheme="majorHAnsi"/>
          <w:sz w:val="16"/>
          <w:szCs w:val="16"/>
        </w:rPr>
      </w:pPr>
      <w:r w:rsidRPr="001C4D71">
        <w:rPr>
          <w:rFonts w:asciiTheme="majorHAnsi" w:hAnsiTheme="majorHAnsi"/>
          <w:sz w:val="16"/>
          <w:szCs w:val="16"/>
        </w:rPr>
        <w:t xml:space="preserve">Zdroj: </w:t>
      </w:r>
      <w:r>
        <w:rPr>
          <w:rFonts w:asciiTheme="majorHAnsi" w:hAnsiTheme="majorHAnsi"/>
          <w:sz w:val="16"/>
          <w:szCs w:val="16"/>
        </w:rPr>
        <w:t xml:space="preserve">datové podklady pro </w:t>
      </w:r>
      <w:r w:rsidR="00363034">
        <w:rPr>
          <w:rFonts w:asciiTheme="majorHAnsi" w:hAnsiTheme="majorHAnsi"/>
          <w:sz w:val="16"/>
          <w:szCs w:val="16"/>
        </w:rPr>
        <w:t>projekt TAČR OMEGA</w:t>
      </w:r>
      <w:r>
        <w:rPr>
          <w:rFonts w:asciiTheme="majorHAnsi" w:hAnsiTheme="majorHAnsi"/>
          <w:sz w:val="16"/>
          <w:szCs w:val="16"/>
        </w:rPr>
        <w:t xml:space="preserve"> - RegioPartner 201</w:t>
      </w:r>
      <w:r w:rsidR="00363034">
        <w:rPr>
          <w:rFonts w:asciiTheme="majorHAnsi" w:hAnsiTheme="majorHAnsi"/>
          <w:sz w:val="16"/>
          <w:szCs w:val="16"/>
        </w:rPr>
        <w:t>7</w:t>
      </w:r>
    </w:p>
    <w:p w:rsidR="00BD33EA" w:rsidRDefault="00D57E09" w:rsidP="00500D13">
      <w:pPr>
        <w:rPr>
          <w:rFonts w:asciiTheme="majorHAnsi" w:hAnsiTheme="majorHAnsi"/>
        </w:rPr>
      </w:pPr>
      <w:r>
        <w:rPr>
          <w:rFonts w:asciiTheme="majorHAnsi" w:hAnsiTheme="majorHAnsi"/>
        </w:rPr>
        <w:t xml:space="preserve">Z hlediska ekonomické </w:t>
      </w:r>
      <w:r w:rsidR="00BD33EA">
        <w:rPr>
          <w:rFonts w:asciiTheme="majorHAnsi" w:hAnsiTheme="majorHAnsi"/>
        </w:rPr>
        <w:t>základny</w:t>
      </w:r>
      <w:r>
        <w:rPr>
          <w:rFonts w:asciiTheme="majorHAnsi" w:hAnsiTheme="majorHAnsi"/>
        </w:rPr>
        <w:t xml:space="preserve"> je v </w:t>
      </w:r>
      <w:r w:rsidR="00363034">
        <w:rPr>
          <w:rFonts w:asciiTheme="majorHAnsi" w:hAnsiTheme="majorHAnsi"/>
        </w:rPr>
        <w:t>Ostrově</w:t>
      </w:r>
      <w:r>
        <w:rPr>
          <w:rFonts w:asciiTheme="majorHAnsi" w:hAnsiTheme="majorHAnsi"/>
        </w:rPr>
        <w:t xml:space="preserve"> zcela dominantní zpracovatelský průmysl</w:t>
      </w:r>
      <w:r w:rsidR="00BD33EA">
        <w:rPr>
          <w:rFonts w:asciiTheme="majorHAnsi" w:hAnsiTheme="majorHAnsi"/>
        </w:rPr>
        <w:t>.</w:t>
      </w:r>
      <w:r w:rsidR="00605F7E">
        <w:rPr>
          <w:rFonts w:asciiTheme="majorHAnsi" w:hAnsiTheme="majorHAnsi"/>
        </w:rPr>
        <w:t xml:space="preserve"> </w:t>
      </w:r>
      <w:r w:rsidR="00BD33EA">
        <w:rPr>
          <w:rFonts w:asciiTheme="majorHAnsi" w:hAnsiTheme="majorHAnsi"/>
        </w:rPr>
        <w:t>Pozitivní je relativně vyšší podíl znalostně náročných služeb. Z dalších sektorů jsou zastoupeny</w:t>
      </w:r>
      <w:r w:rsidR="00605F7E">
        <w:rPr>
          <w:rFonts w:asciiTheme="majorHAnsi" w:hAnsiTheme="majorHAnsi"/>
        </w:rPr>
        <w:t xml:space="preserve"> stavebnictví</w:t>
      </w:r>
      <w:r w:rsidR="00BD33EA">
        <w:rPr>
          <w:rFonts w:asciiTheme="majorHAnsi" w:hAnsiTheme="majorHAnsi"/>
        </w:rPr>
        <w:t xml:space="preserve"> a služby cestovního ruchu</w:t>
      </w:r>
      <w:r w:rsidR="00605F7E">
        <w:rPr>
          <w:rFonts w:asciiTheme="majorHAnsi" w:hAnsiTheme="majorHAnsi"/>
        </w:rPr>
        <w:t>.</w:t>
      </w:r>
      <w:r w:rsidR="00BD33EA">
        <w:rPr>
          <w:rFonts w:asciiTheme="majorHAnsi" w:hAnsiTheme="majorHAnsi"/>
        </w:rPr>
        <w:t xml:space="preserve"> </w:t>
      </w:r>
    </w:p>
    <w:p w:rsidR="00BC376F" w:rsidRDefault="00BD33EA" w:rsidP="00500D13">
      <w:pPr>
        <w:rPr>
          <w:rFonts w:asciiTheme="majorHAnsi" w:hAnsiTheme="majorHAnsi"/>
        </w:rPr>
      </w:pPr>
      <w:r>
        <w:rPr>
          <w:rFonts w:asciiTheme="majorHAnsi" w:hAnsiTheme="majorHAnsi"/>
        </w:rPr>
        <w:t>Zajímavě a pro Ostrov relativně pozitivně vyzní porovnání se souměřitelnými městy regionu.</w:t>
      </w:r>
    </w:p>
    <w:p w:rsidR="00B16F4B" w:rsidRDefault="00B16F4B" w:rsidP="00500D13">
      <w:pPr>
        <w:rPr>
          <w:rFonts w:asciiTheme="majorHAnsi" w:hAnsiTheme="majorHAnsi"/>
        </w:rPr>
      </w:pPr>
    </w:p>
    <w:p w:rsidR="00B16F4B" w:rsidRDefault="00B16F4B" w:rsidP="00500D13">
      <w:pPr>
        <w:rPr>
          <w:rFonts w:asciiTheme="majorHAnsi" w:hAnsiTheme="majorHAnsi"/>
        </w:rPr>
      </w:pPr>
    </w:p>
    <w:p w:rsidR="00B16F4B" w:rsidRDefault="00B16F4B" w:rsidP="00500D13">
      <w:pPr>
        <w:rPr>
          <w:rFonts w:asciiTheme="majorHAnsi" w:hAnsiTheme="majorHAnsi"/>
        </w:rPr>
      </w:pPr>
    </w:p>
    <w:p w:rsidR="00B16F4B" w:rsidRDefault="00B16F4B" w:rsidP="00500D13">
      <w:pPr>
        <w:rPr>
          <w:rFonts w:asciiTheme="majorHAnsi" w:hAnsiTheme="majorHAnsi"/>
        </w:rPr>
      </w:pPr>
    </w:p>
    <w:p w:rsidR="00BD33EA" w:rsidRDefault="00BD33EA" w:rsidP="00BD33EA">
      <w:pPr>
        <w:spacing w:before="0" w:after="120"/>
        <w:rPr>
          <w:rFonts w:asciiTheme="majorHAnsi" w:hAnsiTheme="majorHAnsi"/>
        </w:rPr>
      </w:pPr>
      <w:bookmarkStart w:id="72" w:name="_Toc516059022"/>
      <w:r w:rsidRPr="00684E79">
        <w:rPr>
          <w:rFonts w:asciiTheme="minorHAnsi" w:hAnsiTheme="minorHAnsi" w:cs="Arial-ItalicMT"/>
          <w:b/>
          <w:bCs/>
          <w:iCs/>
          <w:color w:val="372C74"/>
          <w:spacing w:val="10"/>
          <w:sz w:val="18"/>
          <w:szCs w:val="22"/>
        </w:rPr>
        <w:lastRenderedPageBreak/>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13</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Pr>
          <w:rFonts w:asciiTheme="minorHAnsi" w:hAnsiTheme="minorHAnsi" w:cs="Arial-ItalicMT"/>
          <w:iCs/>
          <w:sz w:val="18"/>
          <w:szCs w:val="18"/>
        </w:rPr>
        <w:t>Strukturální parametry ekonomické činnosti v roce 2014</w:t>
      </w:r>
      <w:bookmarkEnd w:id="72"/>
    </w:p>
    <w:tbl>
      <w:tblPr>
        <w:tblStyle w:val="Mkatabulky"/>
        <w:tblW w:w="8330" w:type="dxa"/>
        <w:tblLook w:val="04A0" w:firstRow="1" w:lastRow="0" w:firstColumn="1" w:lastColumn="0" w:noHBand="0" w:noVBand="1"/>
      </w:tblPr>
      <w:tblGrid>
        <w:gridCol w:w="2083"/>
        <w:gridCol w:w="1561"/>
        <w:gridCol w:w="1562"/>
        <w:gridCol w:w="1562"/>
        <w:gridCol w:w="1562"/>
      </w:tblGrid>
      <w:tr w:rsidR="00BD33EA" w:rsidTr="003D1C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Pr>
          <w:p w:rsidR="00BD33EA" w:rsidRPr="009630B5" w:rsidRDefault="00BD33EA" w:rsidP="003D1C58">
            <w:pPr>
              <w:spacing w:before="0" w:after="0" w:line="240" w:lineRule="auto"/>
              <w:jc w:val="center"/>
              <w:rPr>
                <w:rFonts w:asciiTheme="minorHAnsi" w:hAnsiTheme="minorHAnsi"/>
                <w:b/>
                <w:sz w:val="18"/>
                <w:szCs w:val="18"/>
              </w:rPr>
            </w:pPr>
            <w:r>
              <w:rPr>
                <w:rFonts w:asciiTheme="minorHAnsi" w:hAnsiTheme="minorHAnsi"/>
                <w:b/>
                <w:sz w:val="18"/>
                <w:szCs w:val="18"/>
              </w:rPr>
              <w:t>město</w:t>
            </w:r>
          </w:p>
        </w:tc>
        <w:tc>
          <w:tcPr>
            <w:tcW w:w="1561" w:type="dxa"/>
          </w:tcPr>
          <w:p w:rsidR="00BD33EA" w:rsidRPr="00C0442F" w:rsidRDefault="00BD33EA"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C0442F">
              <w:rPr>
                <w:rFonts w:asciiTheme="minorHAnsi" w:hAnsiTheme="minorHAnsi"/>
                <w:b/>
                <w:sz w:val="18"/>
                <w:szCs w:val="18"/>
              </w:rPr>
              <w:t>podíl pracovníků v TNO</w:t>
            </w:r>
          </w:p>
        </w:tc>
        <w:tc>
          <w:tcPr>
            <w:tcW w:w="1562" w:type="dxa"/>
          </w:tcPr>
          <w:p w:rsidR="00BD33EA" w:rsidRPr="00C0442F" w:rsidRDefault="00BD33EA"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C0442F">
              <w:rPr>
                <w:rFonts w:asciiTheme="minorHAnsi" w:hAnsiTheme="minorHAnsi"/>
                <w:b/>
                <w:sz w:val="18"/>
                <w:szCs w:val="18"/>
              </w:rPr>
              <w:t>podíl přidané hodnoty v TNO</w:t>
            </w:r>
          </w:p>
        </w:tc>
        <w:tc>
          <w:tcPr>
            <w:tcW w:w="1562" w:type="dxa"/>
          </w:tcPr>
          <w:p w:rsidR="00BD33EA" w:rsidRPr="00C0442F" w:rsidRDefault="00BD33EA"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C0442F">
              <w:rPr>
                <w:rFonts w:asciiTheme="minorHAnsi" w:hAnsiTheme="minorHAnsi"/>
                <w:b/>
                <w:sz w:val="18"/>
                <w:szCs w:val="18"/>
              </w:rPr>
              <w:t>podíl pracovníků v ZNS</w:t>
            </w:r>
          </w:p>
        </w:tc>
        <w:tc>
          <w:tcPr>
            <w:tcW w:w="1562" w:type="dxa"/>
          </w:tcPr>
          <w:p w:rsidR="00BD33EA" w:rsidRPr="00C0442F" w:rsidRDefault="00BD33EA" w:rsidP="003D1C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C0442F">
              <w:rPr>
                <w:rFonts w:asciiTheme="minorHAnsi" w:hAnsiTheme="minorHAnsi"/>
                <w:b/>
                <w:sz w:val="18"/>
                <w:szCs w:val="18"/>
              </w:rPr>
              <w:t>podíl přidané hodnoty v ZNS</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Aš</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13,2%</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8,1%</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0,5%</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1,4%</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Krupka</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30,9%</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23,8%</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0,1%</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0,6%</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Chodov</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41,0%</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47,7%</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0,1%</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1,0%</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Klášterec nad Ohří</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45,6%</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44,7%</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1,8%</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2,8%</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Bílina</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2,2%</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4,0%</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0,3%</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0,8%</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shd w:val="clear" w:color="auto" w:fill="D9D9D9" w:themeFill="background1" w:themeFillShade="D9"/>
            <w:vAlign w:val="bottom"/>
          </w:tcPr>
          <w:p w:rsidR="00BD33EA" w:rsidRPr="009630B5" w:rsidRDefault="00BD33EA" w:rsidP="003D1C58">
            <w:pPr>
              <w:spacing w:before="0" w:after="0" w:line="240" w:lineRule="auto"/>
              <w:rPr>
                <w:rFonts w:asciiTheme="minorHAnsi" w:hAnsiTheme="minorHAnsi" w:cs="Arial"/>
                <w:b/>
                <w:bCs/>
                <w:color w:val="000000"/>
                <w:sz w:val="16"/>
                <w:szCs w:val="16"/>
              </w:rPr>
            </w:pPr>
            <w:r w:rsidRPr="009630B5">
              <w:rPr>
                <w:rFonts w:asciiTheme="minorHAnsi" w:hAnsiTheme="minorHAnsi" w:cs="Arial"/>
                <w:b/>
                <w:bCs/>
                <w:color w:val="000000"/>
                <w:sz w:val="16"/>
                <w:szCs w:val="16"/>
              </w:rPr>
              <w:t>Ostrov</w:t>
            </w:r>
          </w:p>
        </w:tc>
        <w:tc>
          <w:tcPr>
            <w:tcW w:w="1561" w:type="dxa"/>
            <w:shd w:val="clear" w:color="auto" w:fill="D9D9D9" w:themeFill="background1" w:themeFillShade="D9"/>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38,3%</w:t>
            </w:r>
          </w:p>
        </w:tc>
        <w:tc>
          <w:tcPr>
            <w:tcW w:w="1562" w:type="dxa"/>
            <w:shd w:val="clear" w:color="auto" w:fill="D9D9D9" w:themeFill="background1" w:themeFillShade="D9"/>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42,2%</w:t>
            </w:r>
          </w:p>
        </w:tc>
        <w:tc>
          <w:tcPr>
            <w:tcW w:w="1562" w:type="dxa"/>
            <w:shd w:val="clear" w:color="auto" w:fill="D9D9D9" w:themeFill="background1" w:themeFillShade="D9"/>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1,0%</w:t>
            </w:r>
          </w:p>
        </w:tc>
        <w:tc>
          <w:tcPr>
            <w:tcW w:w="1562" w:type="dxa"/>
            <w:shd w:val="clear" w:color="auto" w:fill="D9D9D9" w:themeFill="background1" w:themeFillShade="D9"/>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2,0%</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Kadaň</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16,8%</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10,7%</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1,3%</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4,8%</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Louny</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32,0%</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26,6%</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15,0%</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40,7%</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Žatec</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54,8%</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65,8%</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2,1%</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2,8%</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Jirkov</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13,7%</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8,0%</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1,3%</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3,9%</w:t>
            </w:r>
          </w:p>
        </w:tc>
      </w:tr>
      <w:tr w:rsidR="00BD33EA"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BD33EA" w:rsidRPr="009630B5" w:rsidRDefault="00BD33EA"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Sokolov</w:t>
            </w:r>
          </w:p>
        </w:tc>
        <w:tc>
          <w:tcPr>
            <w:tcW w:w="1561"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33,3%</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36,0%</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3,7%</w:t>
            </w:r>
          </w:p>
        </w:tc>
        <w:tc>
          <w:tcPr>
            <w:tcW w:w="1562" w:type="dxa"/>
            <w:vAlign w:val="bottom"/>
          </w:tcPr>
          <w:p w:rsidR="00BD33EA" w:rsidRPr="00C0442F" w:rsidRDefault="00BD33EA" w:rsidP="003D1C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C0442F">
              <w:rPr>
                <w:rFonts w:cs="Calibri"/>
                <w:sz w:val="16"/>
                <w:szCs w:val="16"/>
              </w:rPr>
              <w:t>4,9%</w:t>
            </w:r>
          </w:p>
        </w:tc>
      </w:tr>
    </w:tbl>
    <w:p w:rsidR="00BD33EA" w:rsidRPr="00B75E69" w:rsidRDefault="00BD33EA" w:rsidP="00BD33EA">
      <w:pPr>
        <w:spacing w:before="0" w:after="0" w:line="240" w:lineRule="auto"/>
        <w:rPr>
          <w:sz w:val="16"/>
          <w:szCs w:val="16"/>
        </w:rPr>
      </w:pPr>
      <w:r w:rsidRPr="00B75E69">
        <w:rPr>
          <w:sz w:val="16"/>
          <w:szCs w:val="16"/>
        </w:rPr>
        <w:t>Zdroj: datové podklady pro projekt TAČR OMEGA - RegioPartner 2017</w:t>
      </w:r>
    </w:p>
    <w:p w:rsidR="00BD33EA" w:rsidRPr="00B75E69" w:rsidRDefault="00BD33EA" w:rsidP="00BD33EA">
      <w:pPr>
        <w:spacing w:before="0" w:after="0" w:line="240" w:lineRule="auto"/>
        <w:jc w:val="left"/>
        <w:rPr>
          <w:sz w:val="16"/>
          <w:szCs w:val="16"/>
        </w:rPr>
      </w:pPr>
      <w:r w:rsidRPr="00B75E69">
        <w:rPr>
          <w:sz w:val="16"/>
          <w:szCs w:val="16"/>
        </w:rPr>
        <w:t xml:space="preserve">technologicky náročné obory (TNO) </w:t>
      </w:r>
      <w:r>
        <w:rPr>
          <w:sz w:val="16"/>
          <w:szCs w:val="16"/>
        </w:rPr>
        <w:t xml:space="preserve"> </w:t>
      </w:r>
      <w:r w:rsidRPr="00B75E69">
        <w:rPr>
          <w:sz w:val="16"/>
          <w:szCs w:val="16"/>
        </w:rPr>
        <w:t>- zpracovatelský průmysl (NACE 20, 21, 26, 27, 28, 29, 30)</w:t>
      </w:r>
      <w:r w:rsidRPr="00B75E69">
        <w:rPr>
          <w:sz w:val="16"/>
          <w:szCs w:val="16"/>
        </w:rPr>
        <w:tab/>
      </w:r>
      <w:r w:rsidRPr="00B75E69">
        <w:rPr>
          <w:sz w:val="16"/>
          <w:szCs w:val="16"/>
        </w:rPr>
        <w:tab/>
      </w:r>
      <w:r w:rsidRPr="00B75E69">
        <w:rPr>
          <w:sz w:val="16"/>
          <w:szCs w:val="16"/>
        </w:rPr>
        <w:tab/>
      </w:r>
      <w:r w:rsidRPr="00B75E69">
        <w:rPr>
          <w:sz w:val="16"/>
          <w:szCs w:val="16"/>
        </w:rPr>
        <w:tab/>
      </w:r>
    </w:p>
    <w:p w:rsidR="00BD33EA" w:rsidRPr="00B75E69" w:rsidRDefault="00BD33EA" w:rsidP="00BD33EA">
      <w:pPr>
        <w:spacing w:before="0" w:after="0" w:line="240" w:lineRule="auto"/>
        <w:jc w:val="left"/>
        <w:rPr>
          <w:sz w:val="16"/>
          <w:szCs w:val="16"/>
        </w:rPr>
      </w:pPr>
      <w:r w:rsidRPr="00B75E69">
        <w:rPr>
          <w:sz w:val="16"/>
          <w:szCs w:val="16"/>
        </w:rPr>
        <w:t xml:space="preserve">znalostně náročné služby (ZNS) </w:t>
      </w:r>
      <w:r>
        <w:rPr>
          <w:sz w:val="16"/>
          <w:szCs w:val="16"/>
        </w:rPr>
        <w:t xml:space="preserve">         </w:t>
      </w:r>
      <w:r w:rsidRPr="00B75E69">
        <w:rPr>
          <w:sz w:val="16"/>
          <w:szCs w:val="16"/>
        </w:rPr>
        <w:t>- informační a komunikační činnosti (NACE 58, 59, 60, 61, 62, 63)</w:t>
      </w:r>
      <w:r>
        <w:rPr>
          <w:sz w:val="16"/>
          <w:szCs w:val="16"/>
        </w:rPr>
        <w:t xml:space="preserve"> a</w:t>
      </w:r>
    </w:p>
    <w:p w:rsidR="00BD33EA" w:rsidRDefault="00BD33EA" w:rsidP="00BD33EA">
      <w:pPr>
        <w:spacing w:before="0" w:after="0" w:line="240" w:lineRule="auto"/>
        <w:jc w:val="left"/>
        <w:rPr>
          <w:sz w:val="16"/>
          <w:szCs w:val="16"/>
        </w:rPr>
      </w:pPr>
      <w:r w:rsidRPr="00B75E69">
        <w:rPr>
          <w:sz w:val="16"/>
          <w:szCs w:val="16"/>
        </w:rPr>
        <w:t xml:space="preserve">                                             </w:t>
      </w:r>
      <w:r>
        <w:rPr>
          <w:sz w:val="16"/>
          <w:szCs w:val="16"/>
        </w:rPr>
        <w:t xml:space="preserve">                  </w:t>
      </w:r>
      <w:r w:rsidRPr="00B75E69">
        <w:rPr>
          <w:sz w:val="16"/>
          <w:szCs w:val="16"/>
        </w:rPr>
        <w:t>- peněžnictví a pojišťovnictví (NACE 64, 66)</w:t>
      </w:r>
      <w:r w:rsidRPr="00B75E69">
        <w:rPr>
          <w:sz w:val="16"/>
          <w:szCs w:val="16"/>
        </w:rPr>
        <w:tab/>
      </w:r>
      <w:r w:rsidRPr="00B75E69">
        <w:rPr>
          <w:sz w:val="16"/>
          <w:szCs w:val="16"/>
        </w:rPr>
        <w:tab/>
      </w:r>
    </w:p>
    <w:p w:rsidR="00BD33EA" w:rsidRDefault="00BD33EA" w:rsidP="00BD33EA">
      <w:pPr>
        <w:spacing w:before="0" w:after="0" w:line="240" w:lineRule="auto"/>
        <w:jc w:val="left"/>
        <w:rPr>
          <w:sz w:val="16"/>
          <w:szCs w:val="16"/>
        </w:rPr>
      </w:pPr>
    </w:p>
    <w:p w:rsidR="00605F7E" w:rsidRDefault="00605F7E" w:rsidP="00500D13">
      <w:pPr>
        <w:rPr>
          <w:rFonts w:asciiTheme="majorHAnsi" w:hAnsiTheme="majorHAnsi"/>
        </w:rPr>
      </w:pPr>
      <w:r>
        <w:rPr>
          <w:rFonts w:asciiTheme="majorHAnsi" w:hAnsiTheme="majorHAnsi"/>
        </w:rPr>
        <w:t>Podle očekávání dosahují znalostně náročné služby téměř dvojnásobnou produktivitu práce, než například zpracovatelský průmysl nebo stavebnictví a téměř čtyřnásobnou, než činnosti v zemědělství. Rozvojový potenciál je proto nutné hledat a uvolnit právě v tomto sektoru</w:t>
      </w:r>
      <w:r w:rsidR="00BD33EA">
        <w:rPr>
          <w:rFonts w:asciiTheme="majorHAnsi" w:hAnsiTheme="majorHAnsi"/>
        </w:rPr>
        <w:t xml:space="preserve"> a Ostrov by se měl poměřovat spíš s většími městy než s těmi menšími.</w:t>
      </w:r>
    </w:p>
    <w:p w:rsidR="00363034" w:rsidRDefault="00363034" w:rsidP="00500D13">
      <w:pPr>
        <w:rPr>
          <w:rFonts w:asciiTheme="majorHAnsi" w:hAnsiTheme="majorHAnsi"/>
        </w:rPr>
      </w:pPr>
      <w:r>
        <w:rPr>
          <w:rFonts w:asciiTheme="majorHAnsi" w:hAnsiTheme="majorHAnsi"/>
        </w:rPr>
        <w:t>Zajímavý pohled na ekonomický potenciál města Ostrov může poskytnout porovnání se souměřitelnými městy regionu</w:t>
      </w:r>
      <w:r w:rsidR="00BD33EA">
        <w:rPr>
          <w:rFonts w:asciiTheme="majorHAnsi" w:hAnsiTheme="majorHAnsi"/>
        </w:rPr>
        <w:t xml:space="preserve"> také v kvalitativních parametrech produkce</w:t>
      </w:r>
      <w:r>
        <w:rPr>
          <w:rFonts w:asciiTheme="majorHAnsi" w:hAnsiTheme="majorHAnsi"/>
        </w:rPr>
        <w:t>. Předmětem srovnání jsou parametry produkce: oborová produktivita práce a oborové mzdové náklady, resp. jejich podíl na vytvořené přidané hodnotě.</w:t>
      </w:r>
    </w:p>
    <w:p w:rsidR="00363034" w:rsidRDefault="00363034" w:rsidP="00500D13">
      <w:pPr>
        <w:rPr>
          <w:rFonts w:asciiTheme="majorHAnsi" w:hAnsiTheme="majorHAnsi"/>
        </w:rPr>
      </w:pPr>
      <w:r>
        <w:rPr>
          <w:rFonts w:asciiTheme="majorHAnsi" w:hAnsiTheme="majorHAnsi"/>
        </w:rPr>
        <w:t>U každého z porovnávaných měst v následující tabulce je uveden podíl přidané hodnoty vytvořené v roce 2014 ve výše uvedených</w:t>
      </w:r>
      <w:r w:rsidR="00BD33EA">
        <w:rPr>
          <w:rFonts w:asciiTheme="majorHAnsi" w:hAnsiTheme="majorHAnsi"/>
        </w:rPr>
        <w:t xml:space="preserve"> sledovaných sektorech</w:t>
      </w:r>
      <w:r>
        <w:rPr>
          <w:rFonts w:asciiTheme="majorHAnsi" w:hAnsiTheme="majorHAnsi"/>
        </w:rPr>
        <w:t xml:space="preserve"> NACE</w:t>
      </w:r>
      <w:r w:rsidR="006D625A">
        <w:rPr>
          <w:rFonts w:asciiTheme="majorHAnsi" w:hAnsiTheme="majorHAnsi"/>
        </w:rPr>
        <w:t xml:space="preserve"> </w:t>
      </w:r>
      <w:r w:rsidR="00BD33EA">
        <w:rPr>
          <w:rFonts w:asciiTheme="majorHAnsi" w:hAnsiTheme="majorHAnsi"/>
        </w:rPr>
        <w:t xml:space="preserve">s </w:t>
      </w:r>
      <w:r w:rsidR="006D625A">
        <w:rPr>
          <w:rFonts w:asciiTheme="majorHAnsi" w:hAnsiTheme="majorHAnsi"/>
        </w:rPr>
        <w:t>podprůměrnou produktivitou práce, resp. s nadprůměrnými mzdovými náklady</w:t>
      </w:r>
      <w:r w:rsidR="00BD33EA">
        <w:rPr>
          <w:rFonts w:asciiTheme="majorHAnsi" w:hAnsiTheme="majorHAnsi"/>
        </w:rPr>
        <w:t>, než činí celorepublikový vážený průměr v daném oboru</w:t>
      </w:r>
      <w:r w:rsidR="006D625A">
        <w:rPr>
          <w:rFonts w:asciiTheme="majorHAnsi" w:hAnsiTheme="majorHAnsi"/>
        </w:rPr>
        <w:t>.</w:t>
      </w:r>
    </w:p>
    <w:p w:rsidR="006D625A" w:rsidRDefault="006D625A" w:rsidP="006D625A">
      <w:pPr>
        <w:spacing w:before="0" w:after="120"/>
        <w:rPr>
          <w:rFonts w:asciiTheme="majorHAnsi" w:hAnsiTheme="majorHAnsi"/>
        </w:rPr>
      </w:pPr>
      <w:bookmarkStart w:id="73" w:name="_Toc516059023"/>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14</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sidR="007D26B7">
        <w:rPr>
          <w:rFonts w:asciiTheme="minorHAnsi" w:hAnsiTheme="minorHAnsi" w:cs="Arial-ItalicMT"/>
          <w:iCs/>
          <w:sz w:val="18"/>
          <w:szCs w:val="18"/>
        </w:rPr>
        <w:t>Kvalitativní p</w:t>
      </w:r>
      <w:r>
        <w:rPr>
          <w:rFonts w:asciiTheme="minorHAnsi" w:hAnsiTheme="minorHAnsi" w:cs="Arial-ItalicMT"/>
          <w:iCs/>
          <w:sz w:val="18"/>
          <w:szCs w:val="18"/>
        </w:rPr>
        <w:t>arametry ekonomické výkonnosti v roce 2014</w:t>
      </w:r>
      <w:bookmarkEnd w:id="73"/>
    </w:p>
    <w:tbl>
      <w:tblPr>
        <w:tblStyle w:val="Mkatabulky"/>
        <w:tblW w:w="8330" w:type="dxa"/>
        <w:tblLook w:val="04A0" w:firstRow="1" w:lastRow="0" w:firstColumn="1" w:lastColumn="0" w:noHBand="0" w:noVBand="1"/>
      </w:tblPr>
      <w:tblGrid>
        <w:gridCol w:w="2083"/>
        <w:gridCol w:w="3123"/>
        <w:gridCol w:w="3124"/>
      </w:tblGrid>
      <w:tr w:rsidR="006D625A" w:rsidTr="006D62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Pr>
          <w:p w:rsidR="006D625A" w:rsidRPr="009630B5" w:rsidRDefault="006D625A" w:rsidP="007D26B7">
            <w:pPr>
              <w:spacing w:before="0" w:after="0" w:line="240" w:lineRule="auto"/>
              <w:jc w:val="center"/>
              <w:rPr>
                <w:rFonts w:asciiTheme="minorHAnsi" w:hAnsiTheme="minorHAnsi"/>
                <w:b/>
                <w:sz w:val="18"/>
                <w:szCs w:val="18"/>
              </w:rPr>
            </w:pPr>
            <w:r>
              <w:rPr>
                <w:rFonts w:asciiTheme="minorHAnsi" w:hAnsiTheme="minorHAnsi"/>
                <w:b/>
                <w:sz w:val="18"/>
                <w:szCs w:val="18"/>
              </w:rPr>
              <w:t>město</w:t>
            </w:r>
          </w:p>
        </w:tc>
        <w:tc>
          <w:tcPr>
            <w:tcW w:w="3123" w:type="dxa"/>
            <w:vAlign w:val="bottom"/>
          </w:tcPr>
          <w:p w:rsidR="006D625A" w:rsidRPr="009630B5" w:rsidRDefault="006D625A" w:rsidP="007D26B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color w:val="FFFFFF" w:themeColor="background1"/>
                <w:sz w:val="18"/>
                <w:szCs w:val="18"/>
              </w:rPr>
            </w:pPr>
            <w:r w:rsidRPr="006D625A">
              <w:rPr>
                <w:rFonts w:asciiTheme="minorHAnsi" w:hAnsiTheme="minorHAnsi" w:cs="Arial"/>
                <w:b/>
                <w:color w:val="FFFFFF" w:themeColor="background1"/>
                <w:sz w:val="18"/>
                <w:szCs w:val="18"/>
              </w:rPr>
              <w:t>podíl přidané hodnoty vytvořené</w:t>
            </w:r>
            <w:r>
              <w:rPr>
                <w:rFonts w:asciiTheme="minorHAnsi" w:hAnsiTheme="minorHAnsi" w:cs="Arial"/>
                <w:b/>
                <w:color w:val="FFFFFF" w:themeColor="background1"/>
                <w:sz w:val="18"/>
                <w:szCs w:val="18"/>
              </w:rPr>
              <w:t xml:space="preserve"> </w:t>
            </w:r>
            <w:r w:rsidRPr="006D625A">
              <w:rPr>
                <w:rFonts w:asciiTheme="minorHAnsi" w:hAnsiTheme="minorHAnsi" w:cs="Arial"/>
                <w:b/>
                <w:color w:val="FFFFFF" w:themeColor="background1"/>
                <w:sz w:val="18"/>
                <w:szCs w:val="18"/>
              </w:rPr>
              <w:t>s produktivitou práce nižší než je 90 % oborového průměru v celé ČR</w:t>
            </w:r>
          </w:p>
        </w:tc>
        <w:tc>
          <w:tcPr>
            <w:tcW w:w="3124" w:type="dxa"/>
          </w:tcPr>
          <w:p w:rsidR="006D625A" w:rsidRPr="009630B5" w:rsidRDefault="006D625A" w:rsidP="007D26B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color w:val="FFFFFF" w:themeColor="background1"/>
                <w:sz w:val="18"/>
                <w:szCs w:val="18"/>
              </w:rPr>
            </w:pPr>
            <w:r w:rsidRPr="006D625A">
              <w:rPr>
                <w:rFonts w:asciiTheme="minorHAnsi" w:hAnsiTheme="minorHAnsi" w:cs="Arial"/>
                <w:b/>
                <w:color w:val="FFFFFF" w:themeColor="background1"/>
                <w:sz w:val="18"/>
                <w:szCs w:val="18"/>
              </w:rPr>
              <w:t>podíl přidané hodnoty vytvořené</w:t>
            </w:r>
            <w:r>
              <w:rPr>
                <w:rFonts w:asciiTheme="minorHAnsi" w:hAnsiTheme="minorHAnsi" w:cs="Arial"/>
                <w:b/>
                <w:color w:val="FFFFFF" w:themeColor="background1"/>
                <w:sz w:val="18"/>
                <w:szCs w:val="18"/>
              </w:rPr>
              <w:t xml:space="preserve"> </w:t>
            </w:r>
            <w:r w:rsidRPr="006D625A">
              <w:rPr>
                <w:rFonts w:asciiTheme="minorHAnsi" w:hAnsiTheme="minorHAnsi" w:cs="Arial"/>
                <w:b/>
                <w:color w:val="FFFFFF" w:themeColor="background1"/>
                <w:sz w:val="18"/>
                <w:szCs w:val="18"/>
              </w:rPr>
              <w:t>se mzdovými náklady vyššími než 110 % oborového průměru v celé ČR</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Aš</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41,5%</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44,5%</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Krupka</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41,5%</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42,6%</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Chodov</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61,1%</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79,7%</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Klášterec nad Ohří</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58,4%</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58,0%</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Bílina</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62,3%</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64,0%</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shd w:val="clear" w:color="auto" w:fill="D9D9D9" w:themeFill="background1" w:themeFillShade="D9"/>
            <w:vAlign w:val="bottom"/>
          </w:tcPr>
          <w:p w:rsidR="004139D6" w:rsidRPr="009630B5" w:rsidRDefault="004139D6" w:rsidP="007D26B7">
            <w:pPr>
              <w:spacing w:before="0" w:after="0" w:line="240" w:lineRule="auto"/>
              <w:rPr>
                <w:rFonts w:asciiTheme="minorHAnsi" w:hAnsiTheme="minorHAnsi" w:cs="Arial"/>
                <w:b/>
                <w:bCs/>
                <w:color w:val="000000"/>
                <w:sz w:val="16"/>
                <w:szCs w:val="16"/>
              </w:rPr>
            </w:pPr>
            <w:r w:rsidRPr="009630B5">
              <w:rPr>
                <w:rFonts w:asciiTheme="minorHAnsi" w:hAnsiTheme="minorHAnsi" w:cs="Arial"/>
                <w:b/>
                <w:bCs/>
                <w:color w:val="000000"/>
                <w:sz w:val="16"/>
                <w:szCs w:val="16"/>
              </w:rPr>
              <w:t>Ostrov</w:t>
            </w:r>
          </w:p>
        </w:tc>
        <w:tc>
          <w:tcPr>
            <w:tcW w:w="3123" w:type="dxa"/>
            <w:shd w:val="clear" w:color="auto" w:fill="D9D9D9" w:themeFill="background1" w:themeFillShade="D9"/>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38,3%</w:t>
            </w:r>
          </w:p>
        </w:tc>
        <w:tc>
          <w:tcPr>
            <w:tcW w:w="3124" w:type="dxa"/>
            <w:shd w:val="clear" w:color="auto" w:fill="D9D9D9" w:themeFill="background1" w:themeFillShade="D9"/>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71,5%</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Kadaň</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32,4%</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30,4%</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Louny</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7,9%</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12,0%</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Žatec</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40,4%</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42,8%</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Jirkov</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54,6%</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66,6%</w:t>
            </w:r>
          </w:p>
        </w:tc>
      </w:tr>
      <w:tr w:rsidR="004139D6" w:rsidRPr="00C4366F" w:rsidTr="006D625A">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7D26B7">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Sokolov</w:t>
            </w:r>
          </w:p>
        </w:tc>
        <w:tc>
          <w:tcPr>
            <w:tcW w:w="3123"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64,1%</w:t>
            </w:r>
          </w:p>
        </w:tc>
        <w:tc>
          <w:tcPr>
            <w:tcW w:w="3124"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32,7%</w:t>
            </w:r>
          </w:p>
        </w:tc>
      </w:tr>
    </w:tbl>
    <w:p w:rsidR="006D625A" w:rsidRPr="008336AF" w:rsidRDefault="006D625A" w:rsidP="006D625A">
      <w:pPr>
        <w:spacing w:before="0"/>
        <w:rPr>
          <w:sz w:val="16"/>
          <w:szCs w:val="16"/>
        </w:rPr>
      </w:pPr>
      <w:r w:rsidRPr="008336AF">
        <w:rPr>
          <w:sz w:val="16"/>
          <w:szCs w:val="16"/>
        </w:rPr>
        <w:t xml:space="preserve">Zdroj: </w:t>
      </w:r>
      <w:r w:rsidRPr="006D625A">
        <w:rPr>
          <w:sz w:val="16"/>
          <w:szCs w:val="16"/>
        </w:rPr>
        <w:t>datové podklady pro projekt TAČR OMEGA - RegioPartner 2017</w:t>
      </w:r>
    </w:p>
    <w:p w:rsidR="00B75E69" w:rsidRPr="000A13EC" w:rsidRDefault="000A13EC" w:rsidP="000A13EC">
      <w:pPr>
        <w:rPr>
          <w:rFonts w:asciiTheme="majorHAnsi" w:hAnsiTheme="majorHAnsi"/>
        </w:rPr>
      </w:pPr>
      <w:r w:rsidRPr="000A13EC">
        <w:rPr>
          <w:rFonts w:asciiTheme="majorHAnsi" w:hAnsiTheme="majorHAnsi"/>
        </w:rPr>
        <w:lastRenderedPageBreak/>
        <w:t>Zatím co</w:t>
      </w:r>
      <w:r>
        <w:rPr>
          <w:rFonts w:asciiTheme="majorHAnsi" w:hAnsiTheme="majorHAnsi"/>
        </w:rPr>
        <w:t xml:space="preserve"> v produktivitě práce jsou ostrovské podniky v lepším průměru regionu,</w:t>
      </w:r>
      <w:r w:rsidR="00296167">
        <w:rPr>
          <w:rFonts w:asciiTheme="majorHAnsi" w:hAnsiTheme="majorHAnsi"/>
        </w:rPr>
        <w:t xml:space="preserve"> tak relativní podíl mzdových nákladů na vytvořené přidané hodnotě je spolu s Chodovem regionálně nadprůměrný. Lze to interpretovat tak, že relativní blízkost regionálního centra vytváří tlak na zvyšování mezd.</w:t>
      </w:r>
      <w:r w:rsidRPr="000A13EC">
        <w:rPr>
          <w:rFonts w:asciiTheme="majorHAnsi" w:hAnsiTheme="majorHAnsi"/>
        </w:rPr>
        <w:t xml:space="preserve"> </w:t>
      </w:r>
    </w:p>
    <w:p w:rsidR="00B75E69" w:rsidRDefault="00B75E69" w:rsidP="00B75E69">
      <w:pPr>
        <w:spacing w:before="0" w:after="0" w:line="240" w:lineRule="auto"/>
        <w:jc w:val="left"/>
        <w:rPr>
          <w:sz w:val="16"/>
          <w:szCs w:val="16"/>
        </w:rPr>
      </w:pPr>
    </w:p>
    <w:p w:rsidR="00715FBA" w:rsidRDefault="00715FBA" w:rsidP="00C0442F">
      <w:pPr>
        <w:spacing w:before="0" w:after="0" w:line="240" w:lineRule="auto"/>
        <w:jc w:val="left"/>
        <w:rPr>
          <w:sz w:val="24"/>
          <w:szCs w:val="24"/>
        </w:rPr>
      </w:pPr>
    </w:p>
    <w:p w:rsidR="004312E6" w:rsidRPr="007B0DDF" w:rsidRDefault="004312E6" w:rsidP="004312E6">
      <w:pPr>
        <w:pStyle w:val="Nadpis4"/>
        <w:pBdr>
          <w:top w:val="none" w:sz="0" w:space="0" w:color="auto"/>
          <w:left w:val="none" w:sz="0" w:space="0" w:color="auto"/>
        </w:pBdr>
        <w:shd w:val="clear" w:color="auto" w:fill="372C74"/>
        <w:spacing w:before="0" w:after="200"/>
        <w:ind w:firstLine="0"/>
        <w:rPr>
          <w:color w:val="auto"/>
          <w:spacing w:val="4"/>
          <w:szCs w:val="24"/>
        </w:rPr>
      </w:pPr>
      <w:bookmarkStart w:id="74" w:name="_Toc516058315"/>
      <w:r w:rsidRPr="007B0DDF">
        <w:rPr>
          <w:color w:val="auto"/>
          <w:spacing w:val="4"/>
          <w:szCs w:val="24"/>
        </w:rPr>
        <w:t xml:space="preserve">II. </w:t>
      </w:r>
      <w:r w:rsidR="00001931" w:rsidRPr="007B0DDF">
        <w:rPr>
          <w:color w:val="auto"/>
          <w:spacing w:val="4"/>
          <w:szCs w:val="24"/>
        </w:rPr>
        <w:t>Trh práce</w:t>
      </w:r>
      <w:bookmarkEnd w:id="74"/>
    </w:p>
    <w:p w:rsidR="00981F6E" w:rsidRPr="004A3E24" w:rsidRDefault="00981F6E" w:rsidP="00981F6E">
      <w:pPr>
        <w:pStyle w:val="Nadpis6"/>
        <w:rPr>
          <w:rFonts w:asciiTheme="majorHAnsi" w:hAnsiTheme="majorHAnsi"/>
        </w:rPr>
      </w:pPr>
      <w:r w:rsidRPr="004A3E24">
        <w:rPr>
          <w:rFonts w:asciiTheme="majorHAnsi" w:hAnsiTheme="majorHAnsi"/>
        </w:rPr>
        <w:t>Ekonomická aktivita obyvatel</w:t>
      </w:r>
    </w:p>
    <w:p w:rsidR="00981F6E" w:rsidRPr="00981F6E" w:rsidRDefault="00981F6E" w:rsidP="00715FBA">
      <w:pPr>
        <w:rPr>
          <w:rFonts w:asciiTheme="majorHAnsi" w:hAnsiTheme="majorHAnsi"/>
        </w:rPr>
      </w:pPr>
      <w:r w:rsidRPr="00981F6E">
        <w:rPr>
          <w:rFonts w:asciiTheme="majorHAnsi" w:hAnsiTheme="majorHAnsi"/>
        </w:rPr>
        <w:t xml:space="preserve">Ve městě </w:t>
      </w:r>
      <w:r w:rsidR="003D1C58">
        <w:rPr>
          <w:rFonts w:asciiTheme="majorHAnsi" w:hAnsiTheme="majorHAnsi"/>
        </w:rPr>
        <w:t>Ostrov</w:t>
      </w:r>
      <w:r w:rsidRPr="00981F6E">
        <w:rPr>
          <w:rFonts w:asciiTheme="majorHAnsi" w:hAnsiTheme="majorHAnsi"/>
        </w:rPr>
        <w:t xml:space="preserve"> je evidováno celkem 4</w:t>
      </w:r>
      <w:r w:rsidR="00D743AF">
        <w:rPr>
          <w:rFonts w:asciiTheme="majorHAnsi" w:hAnsiTheme="majorHAnsi"/>
        </w:rPr>
        <w:t>7</w:t>
      </w:r>
      <w:r w:rsidRPr="00981F6E">
        <w:rPr>
          <w:rFonts w:asciiTheme="majorHAnsi" w:hAnsiTheme="majorHAnsi"/>
        </w:rPr>
        <w:t>,</w:t>
      </w:r>
      <w:r w:rsidR="00D743AF">
        <w:rPr>
          <w:rFonts w:asciiTheme="majorHAnsi" w:hAnsiTheme="majorHAnsi"/>
        </w:rPr>
        <w:t>2</w:t>
      </w:r>
      <w:r w:rsidRPr="00981F6E">
        <w:rPr>
          <w:rFonts w:asciiTheme="majorHAnsi" w:hAnsiTheme="majorHAnsi"/>
        </w:rPr>
        <w:t xml:space="preserve"> % </w:t>
      </w:r>
      <w:r w:rsidR="00605F7E">
        <w:rPr>
          <w:rFonts w:asciiTheme="majorHAnsi" w:hAnsiTheme="majorHAnsi"/>
        </w:rPr>
        <w:t xml:space="preserve">ekonomicky </w:t>
      </w:r>
      <w:r w:rsidRPr="00981F6E">
        <w:rPr>
          <w:rFonts w:asciiTheme="majorHAnsi" w:hAnsiTheme="majorHAnsi"/>
        </w:rPr>
        <w:t xml:space="preserve">aktivního obyvatelstva, přičemž obyvatel, kteří </w:t>
      </w:r>
      <w:r w:rsidR="00D743AF">
        <w:rPr>
          <w:rFonts w:asciiTheme="majorHAnsi" w:hAnsiTheme="majorHAnsi"/>
        </w:rPr>
        <w:t>byli v roce 2011</w:t>
      </w:r>
      <w:r w:rsidRPr="00981F6E">
        <w:rPr>
          <w:rFonts w:asciiTheme="majorHAnsi" w:hAnsiTheme="majorHAnsi"/>
        </w:rPr>
        <w:t xml:space="preserve"> skutečně zaměstnaní </w:t>
      </w:r>
      <w:r w:rsidR="00D743AF">
        <w:rPr>
          <w:rFonts w:asciiTheme="majorHAnsi" w:hAnsiTheme="majorHAnsi"/>
        </w:rPr>
        <w:t>bylo</w:t>
      </w:r>
      <w:r w:rsidRPr="00981F6E">
        <w:rPr>
          <w:rFonts w:asciiTheme="majorHAnsi" w:hAnsiTheme="majorHAnsi"/>
        </w:rPr>
        <w:t xml:space="preserve"> 4</w:t>
      </w:r>
      <w:r w:rsidR="00D743AF">
        <w:rPr>
          <w:rFonts w:asciiTheme="majorHAnsi" w:hAnsiTheme="majorHAnsi"/>
        </w:rPr>
        <w:t>1</w:t>
      </w:r>
      <w:r w:rsidRPr="00981F6E">
        <w:rPr>
          <w:rFonts w:asciiTheme="majorHAnsi" w:hAnsiTheme="majorHAnsi"/>
        </w:rPr>
        <w:t>,</w:t>
      </w:r>
      <w:r w:rsidR="00D743AF">
        <w:rPr>
          <w:rFonts w:asciiTheme="majorHAnsi" w:hAnsiTheme="majorHAnsi"/>
        </w:rPr>
        <w:t>7 %</w:t>
      </w:r>
      <w:r w:rsidRPr="00981F6E">
        <w:rPr>
          <w:rFonts w:asciiTheme="majorHAnsi" w:hAnsiTheme="majorHAnsi"/>
        </w:rPr>
        <w:t xml:space="preserve">. </w:t>
      </w:r>
    </w:p>
    <w:p w:rsidR="003D1C58" w:rsidRPr="003D1C58" w:rsidRDefault="003D1C58" w:rsidP="00981F6E">
      <w:pPr>
        <w:rPr>
          <w:rFonts w:asciiTheme="majorHAnsi" w:hAnsiTheme="majorHAnsi"/>
        </w:rPr>
      </w:pPr>
      <w:r w:rsidRPr="003D1C58">
        <w:rPr>
          <w:rFonts w:asciiTheme="majorHAnsi" w:hAnsiTheme="majorHAnsi"/>
        </w:rPr>
        <w:t>Úplná struktura obyvatel podle ekonomické aktivity se zjišťuje pouze v souvislosti se s</w:t>
      </w:r>
      <w:r>
        <w:rPr>
          <w:rFonts w:asciiTheme="majorHAnsi" w:hAnsiTheme="majorHAnsi"/>
        </w:rPr>
        <w:t>č</w:t>
      </w:r>
      <w:r w:rsidRPr="003D1C58">
        <w:rPr>
          <w:rFonts w:asciiTheme="majorHAnsi" w:hAnsiTheme="majorHAnsi"/>
        </w:rPr>
        <w:t xml:space="preserve">ítáním lidu a </w:t>
      </w:r>
      <w:r>
        <w:rPr>
          <w:rFonts w:asciiTheme="majorHAnsi" w:hAnsiTheme="majorHAnsi"/>
        </w:rPr>
        <w:t>výsledek ve městě Ostrov je v následující tabul</w:t>
      </w:r>
      <w:r w:rsidR="00021634">
        <w:rPr>
          <w:rFonts w:asciiTheme="majorHAnsi" w:hAnsiTheme="majorHAnsi"/>
        </w:rPr>
        <w:t>ce.</w:t>
      </w:r>
    </w:p>
    <w:p w:rsidR="000B7CC5" w:rsidRPr="000454BB" w:rsidRDefault="003D1C58" w:rsidP="003D1C58">
      <w:pPr>
        <w:spacing w:before="0" w:after="120"/>
        <w:rPr>
          <w:rFonts w:asciiTheme="minorHAnsi" w:hAnsiTheme="minorHAnsi" w:cs="Arial-ItalicMT"/>
          <w:iCs/>
          <w:sz w:val="18"/>
          <w:szCs w:val="18"/>
        </w:rPr>
      </w:pPr>
      <w:bookmarkStart w:id="75" w:name="_Toc516059024"/>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15</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0454BB">
        <w:rPr>
          <w:rFonts w:asciiTheme="minorHAnsi" w:hAnsiTheme="minorHAnsi" w:cs="Arial-ItalicMT"/>
          <w:iCs/>
          <w:sz w:val="18"/>
          <w:szCs w:val="18"/>
        </w:rPr>
        <w:t xml:space="preserve">SLDB 2011 </w:t>
      </w:r>
      <w:r>
        <w:rPr>
          <w:rFonts w:asciiTheme="minorHAnsi" w:hAnsiTheme="minorHAnsi" w:cs="Arial-ItalicMT"/>
          <w:iCs/>
          <w:sz w:val="18"/>
          <w:szCs w:val="18"/>
        </w:rPr>
        <w:t>O</w:t>
      </w:r>
      <w:r w:rsidRPr="000454BB">
        <w:rPr>
          <w:rFonts w:asciiTheme="minorHAnsi" w:hAnsiTheme="minorHAnsi" w:cs="Arial-ItalicMT"/>
          <w:iCs/>
          <w:sz w:val="18"/>
          <w:szCs w:val="18"/>
        </w:rPr>
        <w:t>byvatelstvo podle ekonomické aktivity</w:t>
      </w:r>
      <w:bookmarkEnd w:id="75"/>
    </w:p>
    <w:tbl>
      <w:tblPr>
        <w:tblStyle w:val="Mkatabulky"/>
        <w:tblpPr w:leftFromText="141" w:rightFromText="141" w:vertAnchor="text" w:tblpY="1"/>
        <w:tblOverlap w:val="never"/>
        <w:tblW w:w="0" w:type="auto"/>
        <w:tblLook w:val="04A0" w:firstRow="1" w:lastRow="0" w:firstColumn="1" w:lastColumn="0" w:noHBand="0" w:noVBand="1"/>
      </w:tblPr>
      <w:tblGrid>
        <w:gridCol w:w="817"/>
        <w:gridCol w:w="851"/>
        <w:gridCol w:w="4394"/>
        <w:gridCol w:w="1630"/>
        <w:gridCol w:w="1630"/>
      </w:tblGrid>
      <w:tr w:rsidR="000B7CC5" w:rsidTr="00CE2220">
        <w:trPr>
          <w:cnfStyle w:val="100000000000" w:firstRow="1" w:lastRow="0" w:firstColumn="0" w:lastColumn="0" w:oddVBand="0" w:evenVBand="0" w:oddHBand="0"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6062" w:type="dxa"/>
            <w:gridSpan w:val="3"/>
          </w:tcPr>
          <w:p w:rsidR="000B7CC5" w:rsidRPr="00CE2220" w:rsidRDefault="000B7CC5" w:rsidP="000B7CC5">
            <w:pPr>
              <w:spacing w:before="0" w:after="0" w:line="240" w:lineRule="auto"/>
              <w:rPr>
                <w:rFonts w:asciiTheme="majorHAnsi" w:hAnsiTheme="majorHAnsi"/>
                <w:b/>
                <w:sz w:val="18"/>
                <w:szCs w:val="18"/>
              </w:rPr>
            </w:pPr>
          </w:p>
        </w:tc>
        <w:tc>
          <w:tcPr>
            <w:tcW w:w="1630" w:type="dxa"/>
          </w:tcPr>
          <w:p w:rsidR="000B7CC5" w:rsidRPr="00CE2220" w:rsidRDefault="00CE2220" w:rsidP="00CE22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CE2220">
              <w:rPr>
                <w:rFonts w:asciiTheme="majorHAnsi" w:hAnsiTheme="majorHAnsi"/>
                <w:b/>
                <w:sz w:val="18"/>
                <w:szCs w:val="18"/>
              </w:rPr>
              <w:t>počet</w:t>
            </w:r>
          </w:p>
        </w:tc>
        <w:tc>
          <w:tcPr>
            <w:tcW w:w="1630" w:type="dxa"/>
          </w:tcPr>
          <w:p w:rsidR="000B7CC5" w:rsidRPr="00CE2220" w:rsidRDefault="00CE2220" w:rsidP="00CE222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CE2220">
              <w:rPr>
                <w:rFonts w:asciiTheme="majorHAnsi" w:hAnsiTheme="majorHAnsi"/>
                <w:b/>
                <w:sz w:val="18"/>
                <w:szCs w:val="18"/>
              </w:rPr>
              <w:t>podíl</w:t>
            </w:r>
          </w:p>
        </w:tc>
      </w:tr>
      <w:tr w:rsidR="00CE2220" w:rsidTr="00CE2220">
        <w:trPr>
          <w:trHeight w:val="126"/>
        </w:trPr>
        <w:tc>
          <w:tcPr>
            <w:cnfStyle w:val="001000000000" w:firstRow="0" w:lastRow="0" w:firstColumn="1" w:lastColumn="0" w:oddVBand="0" w:evenVBand="0" w:oddHBand="0" w:evenHBand="0" w:firstRowFirstColumn="0" w:firstRowLastColumn="0" w:lastRowFirstColumn="0" w:lastRowLastColumn="0"/>
            <w:tcW w:w="6062" w:type="dxa"/>
            <w:gridSpan w:val="3"/>
          </w:tcPr>
          <w:p w:rsidR="00CE2220" w:rsidRPr="00CE2220" w:rsidRDefault="00CE2220" w:rsidP="000B7CC5">
            <w:pPr>
              <w:spacing w:before="0" w:after="0" w:line="240" w:lineRule="auto"/>
              <w:rPr>
                <w:rFonts w:asciiTheme="majorHAnsi" w:hAnsiTheme="majorHAnsi"/>
                <w:sz w:val="16"/>
                <w:szCs w:val="16"/>
              </w:rPr>
            </w:pPr>
            <w:r w:rsidRPr="00CE2220">
              <w:rPr>
                <w:rFonts w:asciiTheme="majorHAnsi" w:hAnsiTheme="majorHAnsi"/>
                <w:sz w:val="16"/>
                <w:szCs w:val="16"/>
              </w:rPr>
              <w:t>Obyvatelstvo celkem</w:t>
            </w:r>
          </w:p>
        </w:tc>
        <w:tc>
          <w:tcPr>
            <w:tcW w:w="1630" w:type="dxa"/>
            <w:tcBorders>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17 859</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100,0</w:t>
            </w:r>
          </w:p>
        </w:tc>
      </w:tr>
      <w:tr w:rsidR="00CE2220" w:rsidTr="00CE2220">
        <w:trPr>
          <w:trHeight w:val="126"/>
        </w:trPr>
        <w:tc>
          <w:tcPr>
            <w:cnfStyle w:val="001000000000" w:firstRow="0" w:lastRow="0" w:firstColumn="1" w:lastColumn="0" w:oddVBand="0" w:evenVBand="0" w:oddHBand="0" w:evenHBand="0" w:firstRowFirstColumn="0" w:firstRowLastColumn="0" w:lastRowFirstColumn="0" w:lastRowLastColumn="0"/>
            <w:tcW w:w="6062" w:type="dxa"/>
            <w:gridSpan w:val="3"/>
          </w:tcPr>
          <w:p w:rsidR="00CE2220" w:rsidRPr="00CE2220" w:rsidRDefault="00CE2220" w:rsidP="000B7CC5">
            <w:pPr>
              <w:spacing w:before="0" w:after="0" w:line="240" w:lineRule="auto"/>
              <w:rPr>
                <w:rFonts w:asciiTheme="majorHAnsi" w:hAnsiTheme="majorHAnsi"/>
                <w:sz w:val="16"/>
                <w:szCs w:val="16"/>
              </w:rPr>
            </w:pPr>
            <w:r w:rsidRPr="00CE2220">
              <w:rPr>
                <w:rFonts w:asciiTheme="majorHAnsi" w:hAnsiTheme="majorHAnsi"/>
                <w:sz w:val="16"/>
                <w:szCs w:val="16"/>
              </w:rPr>
              <w:t>Ekonomicky aktivní</w:t>
            </w:r>
          </w:p>
        </w:tc>
        <w:tc>
          <w:tcPr>
            <w:tcW w:w="1630" w:type="dxa"/>
            <w:tcBorders>
              <w:top w:val="single" w:sz="4"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8 428</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47,2</w:t>
            </w:r>
          </w:p>
        </w:tc>
      </w:tr>
      <w:tr w:rsidR="00CE2220" w:rsidTr="00CE2220">
        <w:trPr>
          <w:trHeight w:val="126"/>
        </w:trPr>
        <w:tc>
          <w:tcPr>
            <w:cnfStyle w:val="001000000000" w:firstRow="0" w:lastRow="0" w:firstColumn="1" w:lastColumn="0" w:oddVBand="0" w:evenVBand="0" w:oddHBand="0" w:evenHBand="0" w:firstRowFirstColumn="0" w:firstRowLastColumn="0" w:lastRowFirstColumn="0" w:lastRowLastColumn="0"/>
            <w:tcW w:w="817" w:type="dxa"/>
            <w:vMerge w:val="restart"/>
          </w:tcPr>
          <w:p w:rsidR="00CE2220" w:rsidRPr="00CE2220" w:rsidRDefault="00CE2220" w:rsidP="000B7CC5">
            <w:pPr>
              <w:spacing w:before="0" w:after="0" w:line="240" w:lineRule="auto"/>
              <w:rPr>
                <w:rFonts w:asciiTheme="majorHAnsi" w:hAnsiTheme="majorHAnsi"/>
                <w:sz w:val="16"/>
                <w:szCs w:val="16"/>
              </w:rPr>
            </w:pPr>
            <w:r w:rsidRPr="00CE2220">
              <w:rPr>
                <w:rFonts w:asciiTheme="majorHAnsi" w:hAnsiTheme="majorHAnsi"/>
                <w:sz w:val="16"/>
                <w:szCs w:val="16"/>
              </w:rPr>
              <w:t>v tom</w:t>
            </w:r>
          </w:p>
        </w:tc>
        <w:tc>
          <w:tcPr>
            <w:tcW w:w="5245" w:type="dxa"/>
            <w:gridSpan w:val="2"/>
            <w:tcBorders>
              <w:right w:val="single" w:sz="12" w:space="0" w:color="372C74"/>
            </w:tcBorders>
          </w:tcPr>
          <w:p w:rsidR="00CE2220" w:rsidRPr="00CE2220" w:rsidRDefault="00CE2220" w:rsidP="000B7CC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zaměstnaní</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7 447</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41,7</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851" w:type="dxa"/>
            <w:vMerge w:val="restart"/>
          </w:tcPr>
          <w:p w:rsidR="00CE2220" w:rsidRPr="00CE2220" w:rsidRDefault="00CE2220" w:rsidP="000B7CC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v tom</w:t>
            </w:r>
          </w:p>
        </w:tc>
        <w:tc>
          <w:tcPr>
            <w:tcW w:w="4394" w:type="dxa"/>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zaměstnanci, zaměstnavatelé, samostatně činní, pomáhající</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6 761</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37,9</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851" w:type="dxa"/>
            <w:vMerge/>
          </w:tcPr>
          <w:p w:rsidR="00CE2220" w:rsidRPr="00CE2220" w:rsidRDefault="00CE2220" w:rsidP="000B7CC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p>
        </w:tc>
        <w:tc>
          <w:tcPr>
            <w:tcW w:w="4394" w:type="dxa"/>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pracující studenti a učni</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128</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0,7</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851" w:type="dxa"/>
            <w:vMerge/>
          </w:tcPr>
          <w:p w:rsidR="00CE2220" w:rsidRPr="00CE2220" w:rsidRDefault="00CE2220" w:rsidP="000B7CC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p>
        </w:tc>
        <w:tc>
          <w:tcPr>
            <w:tcW w:w="4394" w:type="dxa"/>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pracující důchodci</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391</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2,2</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851" w:type="dxa"/>
            <w:vMerge/>
          </w:tcPr>
          <w:p w:rsidR="00CE2220" w:rsidRPr="00CE2220" w:rsidRDefault="00CE2220" w:rsidP="000B7CC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p>
        </w:tc>
        <w:tc>
          <w:tcPr>
            <w:tcW w:w="4394" w:type="dxa"/>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ženy na mateřské dovolené</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167</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0,9</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5245" w:type="dxa"/>
            <w:gridSpan w:val="2"/>
            <w:tcBorders>
              <w:right w:val="single" w:sz="12" w:space="0" w:color="372C74"/>
            </w:tcBorders>
          </w:tcPr>
          <w:p w:rsidR="00CE2220" w:rsidRPr="00CE2220" w:rsidRDefault="00CE2220" w:rsidP="000B7CC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nezaměstnaní</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981</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5,5</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851" w:type="dxa"/>
            <w:vMerge w:val="restart"/>
          </w:tcPr>
          <w:p w:rsidR="00CE2220" w:rsidRPr="00CE2220" w:rsidRDefault="00CE2220" w:rsidP="000B7CC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v tom</w:t>
            </w:r>
          </w:p>
        </w:tc>
        <w:tc>
          <w:tcPr>
            <w:tcW w:w="4394" w:type="dxa"/>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hledající první zaměstnání</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168</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0,9</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851" w:type="dxa"/>
            <w:vMerge/>
          </w:tcPr>
          <w:p w:rsidR="00CE2220" w:rsidRPr="00CE2220" w:rsidRDefault="00CE2220" w:rsidP="000B7CC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p>
        </w:tc>
        <w:tc>
          <w:tcPr>
            <w:tcW w:w="4394" w:type="dxa"/>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ostatní nezaměstnaní</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813</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4,6</w:t>
            </w:r>
          </w:p>
        </w:tc>
      </w:tr>
      <w:tr w:rsidR="00CE2220" w:rsidTr="00CE2220">
        <w:tc>
          <w:tcPr>
            <w:cnfStyle w:val="001000000000" w:firstRow="0" w:lastRow="0" w:firstColumn="1" w:lastColumn="0" w:oddVBand="0" w:evenVBand="0" w:oddHBand="0" w:evenHBand="0" w:firstRowFirstColumn="0" w:firstRowLastColumn="0" w:lastRowFirstColumn="0" w:lastRowLastColumn="0"/>
            <w:tcW w:w="6062" w:type="dxa"/>
            <w:gridSpan w:val="3"/>
          </w:tcPr>
          <w:p w:rsidR="00CE2220" w:rsidRPr="00CE2220" w:rsidRDefault="00CE2220" w:rsidP="000B7CC5">
            <w:pPr>
              <w:spacing w:before="0" w:after="0" w:line="240" w:lineRule="auto"/>
              <w:rPr>
                <w:rFonts w:asciiTheme="majorHAnsi" w:hAnsiTheme="majorHAnsi"/>
                <w:sz w:val="16"/>
                <w:szCs w:val="16"/>
              </w:rPr>
            </w:pPr>
            <w:r w:rsidRPr="00CE2220">
              <w:rPr>
                <w:rFonts w:asciiTheme="majorHAnsi" w:hAnsiTheme="majorHAnsi"/>
                <w:sz w:val="16"/>
                <w:szCs w:val="16"/>
              </w:rPr>
              <w:t>Ekonomicky neaktivní</w:t>
            </w:r>
          </w:p>
        </w:tc>
        <w:tc>
          <w:tcPr>
            <w:tcW w:w="1630" w:type="dxa"/>
            <w:tcBorders>
              <w:top w:val="single" w:sz="4"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8 198</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45,9</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val="restart"/>
          </w:tcPr>
          <w:p w:rsidR="00CE2220" w:rsidRPr="00CE2220" w:rsidRDefault="00CE2220" w:rsidP="000B7CC5">
            <w:pPr>
              <w:spacing w:before="0" w:after="0" w:line="240" w:lineRule="auto"/>
              <w:rPr>
                <w:rFonts w:asciiTheme="majorHAnsi" w:hAnsiTheme="majorHAnsi"/>
                <w:sz w:val="16"/>
                <w:szCs w:val="16"/>
              </w:rPr>
            </w:pPr>
            <w:r w:rsidRPr="00CE2220">
              <w:rPr>
                <w:rFonts w:asciiTheme="majorHAnsi" w:hAnsiTheme="majorHAnsi"/>
                <w:sz w:val="16"/>
                <w:szCs w:val="16"/>
              </w:rPr>
              <w:t>v tom</w:t>
            </w:r>
          </w:p>
        </w:tc>
        <w:tc>
          <w:tcPr>
            <w:tcW w:w="5245" w:type="dxa"/>
            <w:gridSpan w:val="2"/>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nepracující důchodci</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3 571</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20,0</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5245" w:type="dxa"/>
            <w:gridSpan w:val="2"/>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ostatní s vlastním zdrojem obživy</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285</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1,6</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5245" w:type="dxa"/>
            <w:gridSpan w:val="2"/>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osoby v domácnosti, děti předškolního</w:t>
            </w:r>
            <w:r>
              <w:rPr>
                <w:rFonts w:asciiTheme="majorHAnsi" w:hAnsiTheme="majorHAnsi"/>
                <w:color w:val="372C74"/>
                <w:sz w:val="16"/>
                <w:szCs w:val="16"/>
              </w:rPr>
              <w:t xml:space="preserve"> </w:t>
            </w:r>
            <w:r w:rsidRPr="00CE2220">
              <w:rPr>
                <w:rFonts w:asciiTheme="majorHAnsi" w:hAnsiTheme="majorHAnsi"/>
                <w:color w:val="372C74"/>
                <w:sz w:val="16"/>
                <w:szCs w:val="16"/>
              </w:rPr>
              <w:t>věku, ostatní závislé osoby</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2 190</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12,3</w:t>
            </w:r>
          </w:p>
        </w:tc>
      </w:tr>
      <w:tr w:rsidR="00CE2220" w:rsidTr="00CE2220">
        <w:tc>
          <w:tcPr>
            <w:cnfStyle w:val="001000000000" w:firstRow="0" w:lastRow="0" w:firstColumn="1" w:lastColumn="0" w:oddVBand="0" w:evenVBand="0" w:oddHBand="0" w:evenHBand="0" w:firstRowFirstColumn="0" w:firstRowLastColumn="0" w:lastRowFirstColumn="0" w:lastRowLastColumn="0"/>
            <w:tcW w:w="817" w:type="dxa"/>
            <w:vMerge/>
          </w:tcPr>
          <w:p w:rsidR="00CE2220" w:rsidRPr="00CE2220" w:rsidRDefault="00CE2220" w:rsidP="000B7CC5">
            <w:pPr>
              <w:spacing w:before="0" w:after="0" w:line="240" w:lineRule="auto"/>
              <w:rPr>
                <w:rFonts w:asciiTheme="majorHAnsi" w:hAnsiTheme="majorHAnsi"/>
                <w:sz w:val="16"/>
                <w:szCs w:val="16"/>
              </w:rPr>
            </w:pPr>
          </w:p>
        </w:tc>
        <w:tc>
          <w:tcPr>
            <w:tcW w:w="5245" w:type="dxa"/>
            <w:gridSpan w:val="2"/>
            <w:tcBorders>
              <w:right w:val="single" w:sz="12" w:space="0" w:color="372C74"/>
            </w:tcBorders>
          </w:tcPr>
          <w:p w:rsidR="00CE2220" w:rsidRPr="00CE2220" w:rsidRDefault="00CE2220" w:rsidP="00CE22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olor w:val="372C74"/>
                <w:sz w:val="16"/>
                <w:szCs w:val="16"/>
              </w:rPr>
            </w:pPr>
            <w:r w:rsidRPr="00CE2220">
              <w:rPr>
                <w:rFonts w:asciiTheme="majorHAnsi" w:hAnsiTheme="majorHAnsi"/>
                <w:color w:val="372C74"/>
                <w:sz w:val="16"/>
                <w:szCs w:val="16"/>
              </w:rPr>
              <w:t>žáci, studenti, učni</w:t>
            </w:r>
          </w:p>
        </w:tc>
        <w:tc>
          <w:tcPr>
            <w:tcW w:w="1630" w:type="dxa"/>
            <w:tcBorders>
              <w:top w:val="single" w:sz="4" w:space="0" w:color="372C74"/>
              <w:left w:val="single" w:sz="12" w:space="0" w:color="372C74"/>
              <w:bottom w:val="single" w:sz="4"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2 152</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12,0</w:t>
            </w:r>
          </w:p>
        </w:tc>
      </w:tr>
      <w:tr w:rsidR="00CE2220" w:rsidTr="00CE2220">
        <w:tc>
          <w:tcPr>
            <w:cnfStyle w:val="001000000000" w:firstRow="0" w:lastRow="0" w:firstColumn="1" w:lastColumn="0" w:oddVBand="0" w:evenVBand="0" w:oddHBand="0" w:evenHBand="0" w:firstRowFirstColumn="0" w:firstRowLastColumn="0" w:lastRowFirstColumn="0" w:lastRowLastColumn="0"/>
            <w:tcW w:w="6062" w:type="dxa"/>
            <w:gridSpan w:val="3"/>
          </w:tcPr>
          <w:p w:rsidR="00CE2220" w:rsidRPr="00CE2220" w:rsidRDefault="00CE2220" w:rsidP="000B7CC5">
            <w:pPr>
              <w:spacing w:before="0" w:after="0" w:line="240" w:lineRule="auto"/>
              <w:rPr>
                <w:rFonts w:asciiTheme="majorHAnsi" w:hAnsiTheme="majorHAnsi"/>
                <w:sz w:val="16"/>
                <w:szCs w:val="16"/>
              </w:rPr>
            </w:pPr>
            <w:r w:rsidRPr="00CE2220">
              <w:rPr>
                <w:rFonts w:asciiTheme="majorHAnsi" w:hAnsiTheme="majorHAnsi"/>
                <w:sz w:val="16"/>
                <w:szCs w:val="16"/>
              </w:rPr>
              <w:t>Nezjištěno</w:t>
            </w:r>
          </w:p>
        </w:tc>
        <w:tc>
          <w:tcPr>
            <w:tcW w:w="1630" w:type="dxa"/>
            <w:tcBorders>
              <w:top w:val="single" w:sz="4" w:space="0" w:color="372C74"/>
              <w:bottom w:val="single" w:sz="12" w:space="0" w:color="372C74"/>
            </w:tcBorders>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1 233</w:t>
            </w:r>
          </w:p>
        </w:tc>
        <w:tc>
          <w:tcPr>
            <w:tcW w:w="1630" w:type="dxa"/>
          </w:tcPr>
          <w:p w:rsidR="00CE2220" w:rsidRPr="00CE2220" w:rsidRDefault="00CE2220" w:rsidP="00CE2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CE2220">
              <w:rPr>
                <w:rFonts w:asciiTheme="minorHAnsi" w:hAnsiTheme="minorHAnsi" w:cstheme="minorHAnsi"/>
                <w:color w:val="000000"/>
                <w:sz w:val="16"/>
                <w:szCs w:val="16"/>
              </w:rPr>
              <w:t>6,9</w:t>
            </w:r>
          </w:p>
        </w:tc>
      </w:tr>
    </w:tbl>
    <w:p w:rsidR="00CE2220" w:rsidRDefault="00CE2220" w:rsidP="00CE2220">
      <w:pPr>
        <w:spacing w:before="0" w:after="120"/>
        <w:rPr>
          <w:rFonts w:asciiTheme="minorHAnsi" w:hAnsiTheme="minorHAnsi" w:cs="Arial-ItalicMT"/>
          <w:iCs/>
          <w:sz w:val="16"/>
          <w:szCs w:val="16"/>
        </w:rPr>
      </w:pPr>
      <w:r w:rsidRPr="003D1C58">
        <w:rPr>
          <w:rFonts w:asciiTheme="minorHAnsi" w:hAnsiTheme="minorHAnsi" w:cs="Arial-ItalicMT"/>
          <w:iCs/>
          <w:sz w:val="16"/>
          <w:szCs w:val="16"/>
        </w:rPr>
        <w:t xml:space="preserve">Zdroj: ČSÚ – </w:t>
      </w:r>
      <w:r>
        <w:rPr>
          <w:rFonts w:asciiTheme="minorHAnsi" w:hAnsiTheme="minorHAnsi" w:cs="Arial-ItalicMT"/>
          <w:iCs/>
          <w:sz w:val="16"/>
          <w:szCs w:val="16"/>
        </w:rPr>
        <w:t>SLDB 2011</w:t>
      </w:r>
      <w:r w:rsidRPr="003D1C58">
        <w:rPr>
          <w:rFonts w:asciiTheme="minorHAnsi" w:hAnsiTheme="minorHAnsi" w:cs="Arial-ItalicMT"/>
          <w:iCs/>
          <w:sz w:val="16"/>
          <w:szCs w:val="16"/>
        </w:rPr>
        <w:t xml:space="preserve">  </w:t>
      </w:r>
    </w:p>
    <w:p w:rsidR="00D743AF" w:rsidRPr="00D743AF" w:rsidRDefault="00D743AF" w:rsidP="00CE2220">
      <w:pPr>
        <w:spacing w:before="0" w:after="120"/>
        <w:rPr>
          <w:rFonts w:asciiTheme="minorHAnsi" w:hAnsiTheme="minorHAnsi" w:cs="Arial-ItalicMT"/>
          <w:iCs/>
          <w:szCs w:val="22"/>
        </w:rPr>
      </w:pPr>
      <w:r>
        <w:rPr>
          <w:rFonts w:asciiTheme="minorHAnsi" w:hAnsiTheme="minorHAnsi" w:cs="Arial-ItalicMT"/>
          <w:iCs/>
          <w:szCs w:val="22"/>
        </w:rPr>
        <w:t>Vývoj zaměstnanosti má v souvislosti s ekonomickým vývojem země pozitivní trend a předběžné výsledky za rok 2017 uvádějí podíl nezaměstnaných osob v Ostrově na úrovni 3,9 %, přičemž počet dosažitelných uchazečů a počet volných míst je shodný 407.</w:t>
      </w:r>
    </w:p>
    <w:p w:rsidR="00D743AF" w:rsidRDefault="00D743AF" w:rsidP="00D743AF">
      <w:pPr>
        <w:spacing w:before="0" w:after="120"/>
        <w:rPr>
          <w:rFonts w:asciiTheme="minorHAnsi" w:hAnsiTheme="minorHAnsi" w:cs="Arial-ItalicMT"/>
          <w:iCs/>
          <w:sz w:val="18"/>
          <w:szCs w:val="18"/>
        </w:rPr>
      </w:pPr>
      <w:bookmarkStart w:id="76" w:name="_Toc516059025"/>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16</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0454BB">
        <w:rPr>
          <w:rFonts w:asciiTheme="minorHAnsi" w:hAnsiTheme="minorHAnsi" w:cs="Arial-ItalicMT"/>
          <w:iCs/>
          <w:sz w:val="18"/>
          <w:szCs w:val="18"/>
        </w:rPr>
        <w:t xml:space="preserve">Stav zaměstnanosti ve městě </w:t>
      </w:r>
      <w:r>
        <w:rPr>
          <w:rFonts w:asciiTheme="minorHAnsi" w:hAnsiTheme="minorHAnsi" w:cs="Arial-ItalicMT"/>
          <w:iCs/>
          <w:sz w:val="18"/>
          <w:szCs w:val="18"/>
        </w:rPr>
        <w:t>Ostrov</w:t>
      </w:r>
      <w:bookmarkEnd w:id="76"/>
    </w:p>
    <w:tbl>
      <w:tblPr>
        <w:tblStyle w:val="Mkatabulky"/>
        <w:tblW w:w="0" w:type="auto"/>
        <w:tblLook w:val="04A0" w:firstRow="1" w:lastRow="0" w:firstColumn="1" w:lastColumn="0" w:noHBand="0" w:noVBand="1"/>
      </w:tblPr>
      <w:tblGrid>
        <w:gridCol w:w="4077"/>
        <w:gridCol w:w="1077"/>
        <w:gridCol w:w="1078"/>
        <w:gridCol w:w="1078"/>
        <w:gridCol w:w="1078"/>
        <w:gridCol w:w="1078"/>
      </w:tblGrid>
      <w:tr w:rsidR="00D743AF" w:rsidRPr="003D1C58" w:rsidTr="00EC3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D743AF" w:rsidRPr="003D1C58" w:rsidRDefault="00D743AF" w:rsidP="00EC315A">
            <w:pPr>
              <w:spacing w:before="0" w:after="0" w:line="240" w:lineRule="auto"/>
              <w:jc w:val="center"/>
              <w:rPr>
                <w:rFonts w:asciiTheme="minorHAnsi" w:hAnsiTheme="minorHAnsi" w:cs="Arial-ItalicMT"/>
                <w:b/>
                <w:iCs/>
                <w:sz w:val="18"/>
                <w:szCs w:val="18"/>
              </w:rPr>
            </w:pPr>
          </w:p>
        </w:tc>
        <w:tc>
          <w:tcPr>
            <w:tcW w:w="1077" w:type="dxa"/>
          </w:tcPr>
          <w:p w:rsidR="00D743AF" w:rsidRPr="003D1C58" w:rsidRDefault="00D743AF"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ItalicMT"/>
                <w:b/>
                <w:iCs/>
                <w:sz w:val="18"/>
                <w:szCs w:val="18"/>
              </w:rPr>
            </w:pPr>
            <w:r w:rsidRPr="003D1C58">
              <w:rPr>
                <w:rFonts w:asciiTheme="minorHAnsi" w:hAnsiTheme="minorHAnsi" w:cs="Arial-ItalicMT"/>
                <w:b/>
                <w:iCs/>
                <w:sz w:val="18"/>
                <w:szCs w:val="18"/>
              </w:rPr>
              <w:t>2012</w:t>
            </w:r>
          </w:p>
        </w:tc>
        <w:tc>
          <w:tcPr>
            <w:tcW w:w="1078" w:type="dxa"/>
          </w:tcPr>
          <w:p w:rsidR="00D743AF" w:rsidRPr="003D1C58" w:rsidRDefault="00D743AF"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ItalicMT"/>
                <w:b/>
                <w:iCs/>
                <w:sz w:val="18"/>
                <w:szCs w:val="18"/>
              </w:rPr>
            </w:pPr>
            <w:r w:rsidRPr="003D1C58">
              <w:rPr>
                <w:rFonts w:asciiTheme="minorHAnsi" w:hAnsiTheme="minorHAnsi" w:cs="Arial-ItalicMT"/>
                <w:b/>
                <w:iCs/>
                <w:sz w:val="18"/>
                <w:szCs w:val="18"/>
              </w:rPr>
              <w:t>2013</w:t>
            </w:r>
          </w:p>
        </w:tc>
        <w:tc>
          <w:tcPr>
            <w:tcW w:w="1078" w:type="dxa"/>
          </w:tcPr>
          <w:p w:rsidR="00D743AF" w:rsidRPr="003D1C58" w:rsidRDefault="00D743AF"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ItalicMT"/>
                <w:b/>
                <w:iCs/>
                <w:sz w:val="18"/>
                <w:szCs w:val="18"/>
              </w:rPr>
            </w:pPr>
            <w:r w:rsidRPr="003D1C58">
              <w:rPr>
                <w:rFonts w:asciiTheme="minorHAnsi" w:hAnsiTheme="minorHAnsi" w:cs="Arial-ItalicMT"/>
                <w:b/>
                <w:iCs/>
                <w:sz w:val="18"/>
                <w:szCs w:val="18"/>
              </w:rPr>
              <w:t>2014</w:t>
            </w:r>
          </w:p>
        </w:tc>
        <w:tc>
          <w:tcPr>
            <w:tcW w:w="1078" w:type="dxa"/>
          </w:tcPr>
          <w:p w:rsidR="00D743AF" w:rsidRPr="003D1C58" w:rsidRDefault="00D743AF"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ItalicMT"/>
                <w:b/>
                <w:iCs/>
                <w:sz w:val="18"/>
                <w:szCs w:val="18"/>
              </w:rPr>
            </w:pPr>
            <w:r w:rsidRPr="003D1C58">
              <w:rPr>
                <w:rFonts w:asciiTheme="minorHAnsi" w:hAnsiTheme="minorHAnsi" w:cs="Arial-ItalicMT"/>
                <w:b/>
                <w:iCs/>
                <w:sz w:val="18"/>
                <w:szCs w:val="18"/>
              </w:rPr>
              <w:t>2015</w:t>
            </w:r>
          </w:p>
        </w:tc>
        <w:tc>
          <w:tcPr>
            <w:tcW w:w="1078" w:type="dxa"/>
          </w:tcPr>
          <w:p w:rsidR="00D743AF" w:rsidRPr="003D1C58" w:rsidRDefault="00D743AF"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ItalicMT"/>
                <w:b/>
                <w:iCs/>
                <w:sz w:val="18"/>
                <w:szCs w:val="18"/>
              </w:rPr>
            </w:pPr>
            <w:r w:rsidRPr="003D1C58">
              <w:rPr>
                <w:rFonts w:asciiTheme="minorHAnsi" w:hAnsiTheme="minorHAnsi" w:cs="Arial-ItalicMT"/>
                <w:b/>
                <w:iCs/>
                <w:sz w:val="18"/>
                <w:szCs w:val="18"/>
              </w:rPr>
              <w:t>2016</w:t>
            </w:r>
          </w:p>
        </w:tc>
      </w:tr>
      <w:tr w:rsidR="00D743AF" w:rsidTr="00EC315A">
        <w:tc>
          <w:tcPr>
            <w:cnfStyle w:val="001000000000" w:firstRow="0" w:lastRow="0" w:firstColumn="1" w:lastColumn="0" w:oddVBand="0" w:evenVBand="0" w:oddHBand="0" w:evenHBand="0" w:firstRowFirstColumn="0" w:firstRowLastColumn="0" w:lastRowFirstColumn="0" w:lastRowLastColumn="0"/>
            <w:tcW w:w="4077" w:type="dxa"/>
          </w:tcPr>
          <w:p w:rsidR="00D743AF" w:rsidRPr="00D743AF" w:rsidRDefault="00D743AF" w:rsidP="00EC315A">
            <w:pPr>
              <w:spacing w:before="0" w:after="0" w:line="240" w:lineRule="auto"/>
              <w:rPr>
                <w:rFonts w:asciiTheme="majorHAnsi" w:hAnsiTheme="majorHAnsi"/>
                <w:sz w:val="16"/>
                <w:szCs w:val="16"/>
              </w:rPr>
            </w:pPr>
            <w:r w:rsidRPr="00D743AF">
              <w:rPr>
                <w:rFonts w:asciiTheme="majorHAnsi" w:hAnsiTheme="majorHAnsi"/>
                <w:sz w:val="16"/>
                <w:szCs w:val="16"/>
              </w:rPr>
              <w:t>Počet obyvatel</w:t>
            </w:r>
          </w:p>
        </w:tc>
        <w:tc>
          <w:tcPr>
            <w:tcW w:w="1077"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17 235</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17 182</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17 089</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17 079</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16 949</w:t>
            </w:r>
          </w:p>
        </w:tc>
      </w:tr>
      <w:tr w:rsidR="00D743AF" w:rsidTr="00EC315A">
        <w:tc>
          <w:tcPr>
            <w:cnfStyle w:val="001000000000" w:firstRow="0" w:lastRow="0" w:firstColumn="1" w:lastColumn="0" w:oddVBand="0" w:evenVBand="0" w:oddHBand="0" w:evenHBand="0" w:firstRowFirstColumn="0" w:firstRowLastColumn="0" w:lastRowFirstColumn="0" w:lastRowLastColumn="0"/>
            <w:tcW w:w="4077" w:type="dxa"/>
          </w:tcPr>
          <w:p w:rsidR="00D743AF" w:rsidRPr="00D743AF" w:rsidRDefault="00D743AF" w:rsidP="00EC315A">
            <w:pPr>
              <w:spacing w:before="0" w:after="0" w:line="240" w:lineRule="auto"/>
              <w:rPr>
                <w:rFonts w:asciiTheme="majorHAnsi" w:hAnsiTheme="majorHAnsi"/>
                <w:sz w:val="16"/>
                <w:szCs w:val="16"/>
              </w:rPr>
            </w:pPr>
            <w:r w:rsidRPr="00D743AF">
              <w:rPr>
                <w:rFonts w:asciiTheme="majorHAnsi" w:hAnsiTheme="majorHAnsi"/>
                <w:sz w:val="16"/>
                <w:szCs w:val="16"/>
              </w:rPr>
              <w:t>Počet obyvatel ve věku 15 - 64 let</w:t>
            </w:r>
          </w:p>
        </w:tc>
        <w:tc>
          <w:tcPr>
            <w:tcW w:w="1077"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11 884</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11 729</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11 563</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11 418</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11 197</w:t>
            </w:r>
          </w:p>
        </w:tc>
      </w:tr>
      <w:tr w:rsidR="00D743AF" w:rsidTr="00EC315A">
        <w:tc>
          <w:tcPr>
            <w:cnfStyle w:val="001000000000" w:firstRow="0" w:lastRow="0" w:firstColumn="1" w:lastColumn="0" w:oddVBand="0" w:evenVBand="0" w:oddHBand="0" w:evenHBand="0" w:firstRowFirstColumn="0" w:firstRowLastColumn="0" w:lastRowFirstColumn="0" w:lastRowLastColumn="0"/>
            <w:tcW w:w="4077" w:type="dxa"/>
          </w:tcPr>
          <w:p w:rsidR="00D743AF" w:rsidRPr="00D743AF" w:rsidRDefault="00D743AF" w:rsidP="00EC315A">
            <w:pPr>
              <w:spacing w:before="0" w:after="0" w:line="240" w:lineRule="auto"/>
              <w:rPr>
                <w:rFonts w:asciiTheme="majorHAnsi" w:hAnsiTheme="majorHAnsi"/>
                <w:sz w:val="16"/>
                <w:szCs w:val="16"/>
              </w:rPr>
            </w:pPr>
            <w:r w:rsidRPr="00D743AF">
              <w:rPr>
                <w:rFonts w:asciiTheme="majorHAnsi" w:hAnsiTheme="majorHAnsi"/>
                <w:sz w:val="16"/>
                <w:szCs w:val="16"/>
              </w:rPr>
              <w:t>Podíl nezaměstnaných osob dosažitelných (%)</w:t>
            </w:r>
          </w:p>
        </w:tc>
        <w:tc>
          <w:tcPr>
            <w:tcW w:w="1077"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9,1</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8,7</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7,3</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6,2</w:t>
            </w:r>
          </w:p>
        </w:tc>
      </w:tr>
      <w:tr w:rsidR="00D743AF" w:rsidTr="00EC315A">
        <w:tc>
          <w:tcPr>
            <w:cnfStyle w:val="001000000000" w:firstRow="0" w:lastRow="0" w:firstColumn="1" w:lastColumn="0" w:oddVBand="0" w:evenVBand="0" w:oddHBand="0" w:evenHBand="0" w:firstRowFirstColumn="0" w:firstRowLastColumn="0" w:lastRowFirstColumn="0" w:lastRowLastColumn="0"/>
            <w:tcW w:w="4077" w:type="dxa"/>
          </w:tcPr>
          <w:p w:rsidR="00D743AF" w:rsidRPr="00D743AF" w:rsidRDefault="00D743AF" w:rsidP="00EC315A">
            <w:pPr>
              <w:spacing w:before="0" w:after="0" w:line="240" w:lineRule="auto"/>
              <w:rPr>
                <w:rFonts w:asciiTheme="majorHAnsi" w:hAnsiTheme="majorHAnsi"/>
                <w:sz w:val="16"/>
                <w:szCs w:val="16"/>
              </w:rPr>
            </w:pPr>
            <w:r w:rsidRPr="00D743AF">
              <w:rPr>
                <w:rFonts w:asciiTheme="majorHAnsi" w:hAnsiTheme="majorHAnsi"/>
                <w:sz w:val="16"/>
                <w:szCs w:val="16"/>
              </w:rPr>
              <w:t>Počet uchazečů o zaměstnání v evidenci ÚP - dosažitelní</w:t>
            </w:r>
          </w:p>
        </w:tc>
        <w:tc>
          <w:tcPr>
            <w:tcW w:w="1077"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1 076</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1 002</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847</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712</w:t>
            </w:r>
          </w:p>
        </w:tc>
      </w:tr>
      <w:tr w:rsidR="00D743AF" w:rsidTr="00EC315A">
        <w:tc>
          <w:tcPr>
            <w:cnfStyle w:val="001000000000" w:firstRow="0" w:lastRow="0" w:firstColumn="1" w:lastColumn="0" w:oddVBand="0" w:evenVBand="0" w:oddHBand="0" w:evenHBand="0" w:firstRowFirstColumn="0" w:firstRowLastColumn="0" w:lastRowFirstColumn="0" w:lastRowLastColumn="0"/>
            <w:tcW w:w="4077" w:type="dxa"/>
          </w:tcPr>
          <w:p w:rsidR="00D743AF" w:rsidRPr="00D743AF" w:rsidRDefault="00D743AF" w:rsidP="00EC315A">
            <w:pPr>
              <w:spacing w:before="0" w:after="0" w:line="240" w:lineRule="auto"/>
              <w:rPr>
                <w:rFonts w:asciiTheme="majorHAnsi" w:hAnsiTheme="majorHAnsi"/>
                <w:sz w:val="16"/>
                <w:szCs w:val="16"/>
              </w:rPr>
            </w:pPr>
            <w:r w:rsidRPr="00D743AF">
              <w:rPr>
                <w:rFonts w:asciiTheme="majorHAnsi" w:hAnsiTheme="majorHAnsi"/>
                <w:sz w:val="16"/>
                <w:szCs w:val="16"/>
              </w:rPr>
              <w:t>Počet uchazečů o zaměstnání v evidenci ÚP</w:t>
            </w:r>
          </w:p>
        </w:tc>
        <w:tc>
          <w:tcPr>
            <w:tcW w:w="1077"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1 101</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1 025</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869</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741</w:t>
            </w:r>
          </w:p>
        </w:tc>
      </w:tr>
      <w:tr w:rsidR="00D743AF" w:rsidTr="00EC315A">
        <w:tc>
          <w:tcPr>
            <w:cnfStyle w:val="001000000000" w:firstRow="0" w:lastRow="0" w:firstColumn="1" w:lastColumn="0" w:oddVBand="0" w:evenVBand="0" w:oddHBand="0" w:evenHBand="0" w:firstRowFirstColumn="0" w:firstRowLastColumn="0" w:lastRowFirstColumn="0" w:lastRowLastColumn="0"/>
            <w:tcW w:w="4077" w:type="dxa"/>
          </w:tcPr>
          <w:p w:rsidR="00D743AF" w:rsidRPr="00D743AF" w:rsidRDefault="00D743AF" w:rsidP="00EC315A">
            <w:pPr>
              <w:spacing w:before="0" w:after="0" w:line="240" w:lineRule="auto"/>
              <w:rPr>
                <w:rFonts w:asciiTheme="majorHAnsi" w:hAnsiTheme="majorHAnsi"/>
                <w:sz w:val="16"/>
                <w:szCs w:val="16"/>
              </w:rPr>
            </w:pPr>
            <w:r w:rsidRPr="00D743AF">
              <w:rPr>
                <w:rFonts w:asciiTheme="majorHAnsi" w:hAnsiTheme="majorHAnsi"/>
                <w:sz w:val="16"/>
                <w:szCs w:val="16"/>
              </w:rPr>
              <w:t>Počet uchazečů v evidenci ÚP - absolventů</w:t>
            </w:r>
          </w:p>
        </w:tc>
        <w:tc>
          <w:tcPr>
            <w:tcW w:w="1077"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29</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42</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25</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17</w:t>
            </w:r>
          </w:p>
        </w:tc>
      </w:tr>
      <w:tr w:rsidR="00D743AF" w:rsidTr="00EC315A">
        <w:tc>
          <w:tcPr>
            <w:cnfStyle w:val="001000000000" w:firstRow="0" w:lastRow="0" w:firstColumn="1" w:lastColumn="0" w:oddVBand="0" w:evenVBand="0" w:oddHBand="0" w:evenHBand="0" w:firstRowFirstColumn="0" w:firstRowLastColumn="0" w:lastRowFirstColumn="0" w:lastRowLastColumn="0"/>
            <w:tcW w:w="4077" w:type="dxa"/>
          </w:tcPr>
          <w:p w:rsidR="00D743AF" w:rsidRPr="00D743AF" w:rsidRDefault="00D743AF" w:rsidP="00EC315A">
            <w:pPr>
              <w:spacing w:before="0" w:after="0" w:line="240" w:lineRule="auto"/>
              <w:rPr>
                <w:rFonts w:asciiTheme="majorHAnsi" w:hAnsiTheme="majorHAnsi"/>
                <w:sz w:val="16"/>
                <w:szCs w:val="16"/>
              </w:rPr>
            </w:pPr>
            <w:r w:rsidRPr="00D743AF">
              <w:rPr>
                <w:rFonts w:asciiTheme="majorHAnsi" w:hAnsiTheme="majorHAnsi"/>
                <w:sz w:val="16"/>
                <w:szCs w:val="16"/>
              </w:rPr>
              <w:t>Počet uchazečů v evidenci ÚP nad 12 měsíců</w:t>
            </w:r>
          </w:p>
        </w:tc>
        <w:tc>
          <w:tcPr>
            <w:tcW w:w="1077"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520</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487</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426</w:t>
            </w:r>
          </w:p>
        </w:tc>
        <w:tc>
          <w:tcPr>
            <w:tcW w:w="1078" w:type="dxa"/>
          </w:tcPr>
          <w:p w:rsidR="00D743AF" w:rsidRPr="003D1C58" w:rsidRDefault="00D743AF" w:rsidP="00EC315A">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3D1C58">
              <w:rPr>
                <w:rFonts w:asciiTheme="minorHAnsi" w:hAnsiTheme="minorHAnsi" w:cstheme="minorHAnsi"/>
                <w:color w:val="000000"/>
                <w:sz w:val="16"/>
                <w:szCs w:val="16"/>
              </w:rPr>
              <w:t>329</w:t>
            </w:r>
          </w:p>
        </w:tc>
      </w:tr>
    </w:tbl>
    <w:p w:rsidR="00D743AF" w:rsidRPr="003D1C58" w:rsidRDefault="00D743AF" w:rsidP="00D743AF">
      <w:pPr>
        <w:spacing w:before="0" w:after="120"/>
        <w:rPr>
          <w:rFonts w:asciiTheme="minorHAnsi" w:hAnsiTheme="minorHAnsi" w:cs="Arial-ItalicMT"/>
          <w:iCs/>
          <w:sz w:val="16"/>
          <w:szCs w:val="16"/>
        </w:rPr>
      </w:pPr>
      <w:r w:rsidRPr="003D1C58">
        <w:rPr>
          <w:rFonts w:asciiTheme="minorHAnsi" w:hAnsiTheme="minorHAnsi" w:cs="Arial-ItalicMT"/>
          <w:iCs/>
          <w:sz w:val="16"/>
          <w:szCs w:val="16"/>
        </w:rPr>
        <w:t xml:space="preserve">Zdroj: ČSÚ – veřejná databáze  </w:t>
      </w:r>
    </w:p>
    <w:p w:rsidR="00290FCE" w:rsidRDefault="00290FCE" w:rsidP="00D743AF">
      <w:pPr>
        <w:rPr>
          <w:rFonts w:asciiTheme="majorHAnsi" w:hAnsiTheme="majorHAnsi"/>
        </w:rPr>
      </w:pPr>
      <w:r w:rsidRPr="00ED46B5">
        <w:rPr>
          <w:rFonts w:asciiTheme="majorHAnsi" w:hAnsiTheme="majorHAnsi"/>
        </w:rPr>
        <w:t>Z přehledu ekonomicky neaktivních</w:t>
      </w:r>
      <w:r>
        <w:rPr>
          <w:rFonts w:asciiTheme="majorHAnsi" w:hAnsiTheme="majorHAnsi"/>
        </w:rPr>
        <w:t xml:space="preserve"> obyvatel vyplývá, že prakticky </w:t>
      </w:r>
      <w:r w:rsidR="00021634">
        <w:rPr>
          <w:rFonts w:asciiTheme="majorHAnsi" w:hAnsiTheme="majorHAnsi"/>
        </w:rPr>
        <w:t>pě</w:t>
      </w:r>
      <w:r>
        <w:rPr>
          <w:rFonts w:asciiTheme="majorHAnsi" w:hAnsiTheme="majorHAnsi"/>
        </w:rPr>
        <w:t xml:space="preserve">tinu obyvatel města tvoří nepracující důchodci. </w:t>
      </w:r>
    </w:p>
    <w:p w:rsidR="00290FCE" w:rsidRDefault="00290FCE" w:rsidP="003C7CB6">
      <w:pPr>
        <w:spacing w:before="0" w:after="120"/>
        <w:rPr>
          <w:rFonts w:asciiTheme="minorHAnsi" w:hAnsiTheme="minorHAnsi" w:cs="Arial-ItalicMT"/>
          <w:b/>
          <w:bCs/>
          <w:iCs/>
          <w:color w:val="372C74"/>
          <w:spacing w:val="10"/>
          <w:sz w:val="18"/>
          <w:szCs w:val="22"/>
        </w:rPr>
      </w:pPr>
      <w:r>
        <w:rPr>
          <w:rFonts w:asciiTheme="majorHAnsi" w:hAnsiTheme="majorHAnsi"/>
        </w:rPr>
        <w:lastRenderedPageBreak/>
        <w:t>Pokud uvážíme i ekonomicky aktivní důchodce, tak úhrnné zjištění ze SLDB 2011 o počt</w:t>
      </w:r>
      <w:r w:rsidR="00FA1A00">
        <w:rPr>
          <w:rFonts w:asciiTheme="majorHAnsi" w:hAnsiTheme="majorHAnsi"/>
        </w:rPr>
        <w:t>u</w:t>
      </w:r>
      <w:r>
        <w:rPr>
          <w:rFonts w:asciiTheme="majorHAnsi" w:hAnsiTheme="majorHAnsi"/>
        </w:rPr>
        <w:t xml:space="preserve"> důchodců v </w:t>
      </w:r>
      <w:r w:rsidR="00F33C05">
        <w:rPr>
          <w:rFonts w:asciiTheme="majorHAnsi" w:hAnsiTheme="majorHAnsi"/>
        </w:rPr>
        <w:t>Ostrově</w:t>
      </w:r>
      <w:r>
        <w:rPr>
          <w:rFonts w:asciiTheme="majorHAnsi" w:hAnsiTheme="majorHAnsi"/>
        </w:rPr>
        <w:t xml:space="preserve"> činí </w:t>
      </w:r>
      <w:r w:rsidR="00F33C05">
        <w:rPr>
          <w:rFonts w:asciiTheme="majorHAnsi" w:hAnsiTheme="majorHAnsi"/>
        </w:rPr>
        <w:t>3 962</w:t>
      </w:r>
      <w:r w:rsidR="00AB1EFB">
        <w:rPr>
          <w:rFonts w:asciiTheme="majorHAnsi" w:hAnsiTheme="majorHAnsi"/>
        </w:rPr>
        <w:t xml:space="preserve"> osob.</w:t>
      </w:r>
    </w:p>
    <w:p w:rsidR="00981F6E" w:rsidRPr="004A3E24" w:rsidRDefault="00981F6E" w:rsidP="00981F6E">
      <w:pPr>
        <w:pStyle w:val="Nadpis6"/>
        <w:rPr>
          <w:rFonts w:asciiTheme="majorHAnsi" w:hAnsiTheme="majorHAnsi"/>
        </w:rPr>
      </w:pPr>
      <w:r w:rsidRPr="004A3E24">
        <w:rPr>
          <w:rFonts w:asciiTheme="majorHAnsi" w:hAnsiTheme="majorHAnsi"/>
        </w:rPr>
        <w:t>Nezaměstnanost</w:t>
      </w:r>
    </w:p>
    <w:p w:rsidR="00981F6E" w:rsidRDefault="00981F6E" w:rsidP="00981F6E">
      <w:pPr>
        <w:rPr>
          <w:rFonts w:asciiTheme="majorHAnsi" w:hAnsiTheme="majorHAnsi"/>
        </w:rPr>
      </w:pPr>
      <w:r w:rsidRPr="00981F6E">
        <w:rPr>
          <w:rFonts w:asciiTheme="majorHAnsi" w:hAnsiTheme="majorHAnsi"/>
        </w:rPr>
        <w:t>Míra nezaměstnanosti v</w:t>
      </w:r>
      <w:r w:rsidR="007778D5">
        <w:rPr>
          <w:rFonts w:asciiTheme="majorHAnsi" w:hAnsiTheme="majorHAnsi"/>
        </w:rPr>
        <w:t xml:space="preserve"> ORP </w:t>
      </w:r>
      <w:r w:rsidR="00562821">
        <w:rPr>
          <w:rFonts w:asciiTheme="majorHAnsi" w:hAnsiTheme="majorHAnsi"/>
        </w:rPr>
        <w:t>Ostrov kopíruje pozitivní trend posledních let</w:t>
      </w:r>
      <w:r w:rsidRPr="00981F6E">
        <w:rPr>
          <w:rFonts w:asciiTheme="majorHAnsi" w:hAnsiTheme="majorHAnsi"/>
        </w:rPr>
        <w:t xml:space="preserve">. </w:t>
      </w:r>
      <w:r w:rsidR="00562821">
        <w:rPr>
          <w:rFonts w:asciiTheme="majorHAnsi" w:hAnsiTheme="majorHAnsi"/>
        </w:rPr>
        <w:t>V</w:t>
      </w:r>
      <w:r w:rsidR="00A83659">
        <w:rPr>
          <w:rFonts w:asciiTheme="majorHAnsi" w:hAnsiTheme="majorHAnsi"/>
        </w:rPr>
        <w:t xml:space="preserve"> roce 20</w:t>
      </w:r>
      <w:r w:rsidR="00562821">
        <w:rPr>
          <w:rFonts w:asciiTheme="majorHAnsi" w:hAnsiTheme="majorHAnsi"/>
        </w:rPr>
        <w:t>16</w:t>
      </w:r>
      <w:r w:rsidR="00A83659">
        <w:rPr>
          <w:rFonts w:asciiTheme="majorHAnsi" w:hAnsiTheme="majorHAnsi"/>
        </w:rPr>
        <w:t xml:space="preserve"> činila</w:t>
      </w:r>
      <w:r w:rsidRPr="00981F6E">
        <w:rPr>
          <w:rFonts w:asciiTheme="majorHAnsi" w:hAnsiTheme="majorHAnsi"/>
        </w:rPr>
        <w:t xml:space="preserve"> míra nezaměstnanosti </w:t>
      </w:r>
      <w:r w:rsidR="00562821">
        <w:rPr>
          <w:rFonts w:asciiTheme="majorHAnsi" w:hAnsiTheme="majorHAnsi"/>
        </w:rPr>
        <w:t>6,2</w:t>
      </w:r>
      <w:r w:rsidRPr="00981F6E">
        <w:rPr>
          <w:rFonts w:asciiTheme="majorHAnsi" w:hAnsiTheme="majorHAnsi"/>
        </w:rPr>
        <w:t xml:space="preserve"> %</w:t>
      </w:r>
      <w:r w:rsidR="00562821">
        <w:rPr>
          <w:rFonts w:asciiTheme="majorHAnsi" w:hAnsiTheme="majorHAnsi"/>
        </w:rPr>
        <w:t xml:space="preserve"> a dále klesá</w:t>
      </w:r>
      <w:r w:rsidRPr="00981F6E">
        <w:rPr>
          <w:rFonts w:asciiTheme="majorHAnsi" w:hAnsiTheme="majorHAnsi"/>
        </w:rPr>
        <w:t>.</w:t>
      </w:r>
      <w:r w:rsidR="00562821">
        <w:rPr>
          <w:rFonts w:asciiTheme="majorHAnsi" w:hAnsiTheme="majorHAnsi"/>
        </w:rPr>
        <w:t xml:space="preserve"> Relativní parametry nezaměstnanosti se významně neodchylují od parametrů kraje.</w:t>
      </w:r>
    </w:p>
    <w:p w:rsidR="00562821" w:rsidRPr="000454BB" w:rsidRDefault="00562821" w:rsidP="00562821">
      <w:pPr>
        <w:spacing w:before="0" w:after="120"/>
        <w:rPr>
          <w:rFonts w:asciiTheme="minorHAnsi" w:hAnsiTheme="minorHAnsi" w:cs="Arial-ItalicMT"/>
          <w:iCs/>
          <w:sz w:val="18"/>
          <w:szCs w:val="18"/>
        </w:rPr>
      </w:pPr>
      <w:bookmarkStart w:id="77" w:name="_Toc516059026"/>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17</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562821">
        <w:rPr>
          <w:rFonts w:asciiTheme="minorHAnsi" w:hAnsiTheme="minorHAnsi" w:cs="Arial-ItalicMT"/>
          <w:iCs/>
          <w:sz w:val="18"/>
          <w:szCs w:val="18"/>
        </w:rPr>
        <w:t>Nezaměstnanost v Karlovarském kraji a SO ORP Ostrov k 31. 12. 2016</w:t>
      </w:r>
      <w:r w:rsidRPr="003C7CB6">
        <w:rPr>
          <w:rFonts w:asciiTheme="minorHAnsi" w:hAnsiTheme="minorHAnsi" w:cs="Arial-ItalicMT"/>
          <w:iCs/>
          <w:sz w:val="18"/>
          <w:szCs w:val="18"/>
        </w:rPr>
        <w:t>.</w:t>
      </w:r>
      <w:bookmarkEnd w:id="77"/>
    </w:p>
    <w:tbl>
      <w:tblPr>
        <w:tblStyle w:val="Mkatabulky"/>
        <w:tblW w:w="0" w:type="auto"/>
        <w:tblLook w:val="04A0" w:firstRow="1" w:lastRow="0" w:firstColumn="1" w:lastColumn="0" w:noHBand="0" w:noVBand="1"/>
      </w:tblPr>
      <w:tblGrid>
        <w:gridCol w:w="5920"/>
        <w:gridCol w:w="1985"/>
        <w:gridCol w:w="1547"/>
      </w:tblGrid>
      <w:tr w:rsidR="00562821" w:rsidRPr="00562821" w:rsidTr="005628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0" w:type="dxa"/>
          </w:tcPr>
          <w:p w:rsidR="00562821" w:rsidRPr="00562821" w:rsidRDefault="00562821" w:rsidP="00562821">
            <w:pPr>
              <w:spacing w:before="0" w:after="0" w:line="240" w:lineRule="auto"/>
              <w:rPr>
                <w:rFonts w:asciiTheme="majorHAnsi" w:hAnsiTheme="majorHAnsi"/>
                <w:sz w:val="18"/>
                <w:szCs w:val="18"/>
              </w:rPr>
            </w:pPr>
          </w:p>
        </w:tc>
        <w:tc>
          <w:tcPr>
            <w:tcW w:w="1985" w:type="dxa"/>
          </w:tcPr>
          <w:p w:rsidR="00562821" w:rsidRPr="00562821" w:rsidRDefault="00562821" w:rsidP="0056282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Pr>
                <w:rFonts w:asciiTheme="majorHAnsi" w:hAnsiTheme="majorHAnsi"/>
                <w:b/>
                <w:sz w:val="18"/>
                <w:szCs w:val="18"/>
              </w:rPr>
              <w:t>Karlovarský kraj</w:t>
            </w:r>
          </w:p>
        </w:tc>
        <w:tc>
          <w:tcPr>
            <w:tcW w:w="1547" w:type="dxa"/>
          </w:tcPr>
          <w:p w:rsidR="00562821" w:rsidRPr="00562821" w:rsidRDefault="00562821" w:rsidP="0056282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Pr>
                <w:rFonts w:asciiTheme="majorHAnsi" w:hAnsiTheme="majorHAnsi"/>
                <w:b/>
                <w:sz w:val="18"/>
                <w:szCs w:val="18"/>
              </w:rPr>
              <w:t>SO ORP Ostrov</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sidRPr="00562821">
              <w:rPr>
                <w:rFonts w:asciiTheme="minorHAnsi" w:hAnsiTheme="minorHAnsi" w:cstheme="minorHAnsi"/>
                <w:color w:val="000000"/>
                <w:sz w:val="16"/>
                <w:szCs w:val="16"/>
              </w:rPr>
              <w:t>počet volných pracovních míst</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3</w:t>
            </w: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669</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242</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sidRPr="00562821">
              <w:rPr>
                <w:rFonts w:asciiTheme="minorHAnsi" w:hAnsiTheme="minorHAnsi" w:cstheme="minorHAnsi"/>
                <w:color w:val="000000"/>
                <w:sz w:val="16"/>
                <w:szCs w:val="16"/>
              </w:rPr>
              <w:t>počet uchazečů na 1 volné pracovní místo</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3,2</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5</w:t>
            </w:r>
            <w:r>
              <w:rPr>
                <w:rFonts w:asciiTheme="minorHAnsi" w:hAnsiTheme="minorHAnsi" w:cstheme="minorHAnsi"/>
                <w:color w:val="000000"/>
                <w:sz w:val="16"/>
                <w:szCs w:val="16"/>
              </w:rPr>
              <w:t>,0</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sidRPr="00562821">
              <w:rPr>
                <w:rFonts w:asciiTheme="minorHAnsi" w:hAnsiTheme="minorHAnsi" w:cstheme="minorHAnsi"/>
                <w:color w:val="000000"/>
                <w:sz w:val="16"/>
                <w:szCs w:val="16"/>
              </w:rPr>
              <w:t>počet uchazečů o zaměstnání v evidenci úřadu práce</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11</w:t>
            </w: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696</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1</w:t>
            </w: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199</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sidRPr="00562821">
              <w:rPr>
                <w:rFonts w:asciiTheme="minorHAnsi" w:hAnsiTheme="minorHAnsi" w:cstheme="minorHAnsi"/>
                <w:color w:val="000000"/>
                <w:sz w:val="16"/>
                <w:szCs w:val="16"/>
              </w:rPr>
              <w:t>z toho v %</w:t>
            </w:r>
          </w:p>
        </w:tc>
        <w:tc>
          <w:tcPr>
            <w:tcW w:w="1985" w:type="dxa"/>
            <w:vAlign w:val="bottom"/>
          </w:tcPr>
          <w:p w:rsidR="00562821" w:rsidRPr="00562821" w:rsidRDefault="00562821" w:rsidP="0056282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p>
        </w:tc>
        <w:tc>
          <w:tcPr>
            <w:tcW w:w="1547" w:type="dxa"/>
            <w:vAlign w:val="bottom"/>
          </w:tcPr>
          <w:p w:rsidR="00562821" w:rsidRPr="00562821" w:rsidRDefault="00562821" w:rsidP="00562821">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žen</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49,6</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48,1</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absolventů škol</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2,2</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2,3</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osob se zdravotním postižením</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11,3</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8,3</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osob do 24 let věku</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12,9</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11,1</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osob nad 50 let věku</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33,9</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34,8</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v evidenci 6 až 12 měsíců</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12,8</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12,7</w:t>
            </w:r>
          </w:p>
        </w:tc>
      </w:tr>
      <w:tr w:rsidR="00562821" w:rsidRPr="00562821" w:rsidTr="00EC315A">
        <w:tc>
          <w:tcPr>
            <w:cnfStyle w:val="001000000000" w:firstRow="0" w:lastRow="0" w:firstColumn="1" w:lastColumn="0" w:oddVBand="0" w:evenVBand="0" w:oddHBand="0" w:evenHBand="0" w:firstRowFirstColumn="0" w:firstRowLastColumn="0" w:lastRowFirstColumn="0" w:lastRowLastColumn="0"/>
            <w:tcW w:w="5920" w:type="dxa"/>
            <w:vAlign w:val="bottom"/>
          </w:tcPr>
          <w:p w:rsidR="00562821" w:rsidRPr="00562821" w:rsidRDefault="00562821" w:rsidP="00562821">
            <w:pPr>
              <w:spacing w:before="0" w:after="0" w:line="240" w:lineRule="auto"/>
              <w:rPr>
                <w:rFonts w:asciiTheme="minorHAnsi" w:hAnsiTheme="minorHAnsi" w:cstheme="minorHAnsi"/>
                <w:color w:val="000000"/>
                <w:sz w:val="16"/>
                <w:szCs w:val="16"/>
              </w:rPr>
            </w:pPr>
            <w:r>
              <w:rPr>
                <w:rFonts w:asciiTheme="minorHAnsi" w:hAnsiTheme="minorHAnsi" w:cstheme="minorHAnsi"/>
                <w:color w:val="000000"/>
                <w:sz w:val="16"/>
                <w:szCs w:val="16"/>
              </w:rPr>
              <w:t xml:space="preserve">           </w:t>
            </w:r>
            <w:r w:rsidRPr="00562821">
              <w:rPr>
                <w:rFonts w:asciiTheme="minorHAnsi" w:hAnsiTheme="minorHAnsi" w:cstheme="minorHAnsi"/>
                <w:color w:val="000000"/>
                <w:sz w:val="16"/>
                <w:szCs w:val="16"/>
              </w:rPr>
              <w:t>v evidenci nad 12 měsíců</w:t>
            </w:r>
          </w:p>
        </w:tc>
        <w:tc>
          <w:tcPr>
            <w:tcW w:w="1985"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42</w:t>
            </w:r>
            <w:r>
              <w:rPr>
                <w:rFonts w:asciiTheme="minorHAnsi" w:hAnsiTheme="minorHAnsi" w:cstheme="minorHAnsi"/>
                <w:color w:val="000000"/>
                <w:sz w:val="16"/>
                <w:szCs w:val="16"/>
              </w:rPr>
              <w:t>,0</w:t>
            </w:r>
          </w:p>
        </w:tc>
        <w:tc>
          <w:tcPr>
            <w:tcW w:w="1547" w:type="dxa"/>
            <w:vAlign w:val="bottom"/>
          </w:tcPr>
          <w:p w:rsidR="00562821" w:rsidRPr="00562821" w:rsidRDefault="00562821" w:rsidP="0056282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562821">
              <w:rPr>
                <w:rFonts w:asciiTheme="minorHAnsi" w:hAnsiTheme="minorHAnsi" w:cstheme="minorHAnsi"/>
                <w:color w:val="000000"/>
                <w:sz w:val="16"/>
                <w:szCs w:val="16"/>
              </w:rPr>
              <w:t>45</w:t>
            </w:r>
            <w:r>
              <w:rPr>
                <w:rFonts w:asciiTheme="minorHAnsi" w:hAnsiTheme="minorHAnsi" w:cstheme="minorHAnsi"/>
                <w:color w:val="000000"/>
                <w:sz w:val="16"/>
                <w:szCs w:val="16"/>
              </w:rPr>
              <w:t>,0</w:t>
            </w:r>
          </w:p>
        </w:tc>
      </w:tr>
    </w:tbl>
    <w:p w:rsidR="00BA0714" w:rsidRDefault="00BA0714" w:rsidP="00BA0714">
      <w:pPr>
        <w:spacing w:before="0" w:after="120"/>
        <w:rPr>
          <w:rFonts w:asciiTheme="majorHAnsi" w:hAnsiTheme="majorHAnsi"/>
          <w:sz w:val="16"/>
          <w:szCs w:val="16"/>
        </w:rPr>
      </w:pPr>
      <w:r w:rsidRPr="00981F6E">
        <w:rPr>
          <w:rFonts w:asciiTheme="majorHAnsi" w:hAnsiTheme="majorHAnsi"/>
          <w:sz w:val="16"/>
          <w:szCs w:val="16"/>
        </w:rPr>
        <w:t>Zdroj: ČSÚ – Krajská správa ČSÚ v</w:t>
      </w:r>
      <w:r w:rsidR="00562821">
        <w:rPr>
          <w:rFonts w:asciiTheme="majorHAnsi" w:hAnsiTheme="majorHAnsi"/>
          <w:sz w:val="16"/>
          <w:szCs w:val="16"/>
        </w:rPr>
        <w:t> Karlových Varech</w:t>
      </w:r>
    </w:p>
    <w:p w:rsidR="00503B96" w:rsidRPr="00981F6E" w:rsidRDefault="00503B96" w:rsidP="00BA0714">
      <w:pPr>
        <w:spacing w:before="0" w:after="120"/>
        <w:rPr>
          <w:rFonts w:asciiTheme="majorHAnsi" w:hAnsiTheme="majorHAnsi"/>
          <w:sz w:val="16"/>
          <w:szCs w:val="16"/>
        </w:rPr>
      </w:pPr>
    </w:p>
    <w:p w:rsidR="00366F90" w:rsidRDefault="003E7F5C" w:rsidP="00366F90">
      <w:pPr>
        <w:pStyle w:val="Nadpis6"/>
        <w:rPr>
          <w:rFonts w:asciiTheme="majorHAnsi" w:hAnsiTheme="majorHAnsi"/>
        </w:rPr>
      </w:pPr>
      <w:r>
        <w:rPr>
          <w:rFonts w:asciiTheme="majorHAnsi" w:hAnsiTheme="majorHAnsi"/>
        </w:rPr>
        <w:t>Vyjížď</w:t>
      </w:r>
      <w:r w:rsidR="00366F90">
        <w:rPr>
          <w:rFonts w:asciiTheme="majorHAnsi" w:hAnsiTheme="majorHAnsi"/>
        </w:rPr>
        <w:t xml:space="preserve">ka </w:t>
      </w:r>
      <w:r w:rsidR="00AC2782">
        <w:rPr>
          <w:rFonts w:asciiTheme="majorHAnsi" w:hAnsiTheme="majorHAnsi"/>
        </w:rPr>
        <w:t>do zaměstnání</w:t>
      </w:r>
    </w:p>
    <w:p w:rsidR="00AC2782" w:rsidRDefault="00EF21C1" w:rsidP="003E7F5C">
      <w:pPr>
        <w:rPr>
          <w:rFonts w:asciiTheme="majorHAnsi" w:hAnsiTheme="majorHAnsi"/>
        </w:rPr>
      </w:pPr>
      <w:r>
        <w:rPr>
          <w:rFonts w:asciiTheme="majorHAnsi" w:hAnsiTheme="majorHAnsi"/>
        </w:rPr>
        <w:t xml:space="preserve">Pro analýzu vyjížďky do zaměstnání a do školy jsou k dispozici data ze sčítání v roce 2011. </w:t>
      </w:r>
      <w:r w:rsidR="00686A9A">
        <w:rPr>
          <w:rFonts w:asciiTheme="majorHAnsi" w:hAnsiTheme="majorHAnsi"/>
        </w:rPr>
        <w:t>Ačkoliv jsou tato data již relativně stará, tak lze předpokládat, že vyjížďkové proudy se mění pozvolna a údaje zůstávají relevantní.</w:t>
      </w:r>
    </w:p>
    <w:p w:rsidR="00AC2782" w:rsidRDefault="00AC2782" w:rsidP="00AC2782">
      <w:pPr>
        <w:spacing w:before="0" w:after="120"/>
        <w:rPr>
          <w:rFonts w:asciiTheme="minorHAnsi" w:hAnsiTheme="minorHAnsi" w:cs="Arial-ItalicMT"/>
          <w:iCs/>
          <w:sz w:val="18"/>
          <w:szCs w:val="18"/>
        </w:rPr>
      </w:pPr>
      <w:bookmarkStart w:id="78" w:name="_Toc516059027"/>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18</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544E0E">
        <w:rPr>
          <w:rFonts w:asciiTheme="minorHAnsi" w:hAnsiTheme="minorHAnsi" w:cs="Arial-ItalicMT"/>
          <w:iCs/>
          <w:sz w:val="18"/>
          <w:szCs w:val="18"/>
        </w:rPr>
        <w:t>Vyjíždějící do zaměstnání a do škol</w:t>
      </w:r>
      <w:bookmarkEnd w:id="78"/>
    </w:p>
    <w:tbl>
      <w:tblPr>
        <w:tblStyle w:val="Mkatabulky"/>
        <w:tblW w:w="9372" w:type="dxa"/>
        <w:tblLook w:val="04A0" w:firstRow="1" w:lastRow="0" w:firstColumn="1" w:lastColumn="0" w:noHBand="0" w:noVBand="1"/>
      </w:tblPr>
      <w:tblGrid>
        <w:gridCol w:w="1668"/>
        <w:gridCol w:w="1100"/>
        <w:gridCol w:w="1101"/>
        <w:gridCol w:w="1100"/>
        <w:gridCol w:w="1101"/>
        <w:gridCol w:w="1100"/>
        <w:gridCol w:w="1101"/>
        <w:gridCol w:w="1101"/>
      </w:tblGrid>
      <w:tr w:rsidR="00EF21C1" w:rsidTr="00EF21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EF21C1" w:rsidRPr="009630B5" w:rsidRDefault="00EF21C1" w:rsidP="00EC315A">
            <w:pPr>
              <w:spacing w:before="0" w:after="0" w:line="240" w:lineRule="auto"/>
              <w:jc w:val="center"/>
              <w:rPr>
                <w:rFonts w:asciiTheme="minorHAnsi" w:hAnsiTheme="minorHAnsi"/>
                <w:b/>
                <w:sz w:val="18"/>
                <w:szCs w:val="18"/>
              </w:rPr>
            </w:pPr>
            <w:r>
              <w:rPr>
                <w:rFonts w:asciiTheme="minorHAnsi" w:hAnsiTheme="minorHAnsi"/>
                <w:b/>
                <w:sz w:val="18"/>
                <w:szCs w:val="18"/>
              </w:rPr>
              <w:t>město</w:t>
            </w:r>
          </w:p>
        </w:tc>
        <w:tc>
          <w:tcPr>
            <w:tcW w:w="1100" w:type="dxa"/>
          </w:tcPr>
          <w:p w:rsidR="00EF21C1" w:rsidRPr="007353E5" w:rsidRDefault="00EF21C1" w:rsidP="007353E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7353E5">
              <w:rPr>
                <w:rFonts w:asciiTheme="minorHAnsi" w:hAnsiTheme="minorHAnsi"/>
                <w:b/>
                <w:sz w:val="18"/>
                <w:szCs w:val="18"/>
              </w:rPr>
              <w:t>za prací vyjíždí</w:t>
            </w:r>
          </w:p>
        </w:tc>
        <w:tc>
          <w:tcPr>
            <w:tcW w:w="1101" w:type="dxa"/>
          </w:tcPr>
          <w:p w:rsidR="00EF21C1" w:rsidRPr="007353E5" w:rsidRDefault="00EF21C1" w:rsidP="00EF21C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7353E5">
              <w:rPr>
                <w:rFonts w:asciiTheme="minorHAnsi" w:hAnsiTheme="minorHAnsi"/>
                <w:b/>
                <w:sz w:val="18"/>
                <w:szCs w:val="18"/>
              </w:rPr>
              <w:t>z toho mimo obec</w:t>
            </w:r>
          </w:p>
        </w:tc>
        <w:tc>
          <w:tcPr>
            <w:tcW w:w="1100" w:type="dxa"/>
          </w:tcPr>
          <w:p w:rsidR="00EF21C1" w:rsidRPr="007353E5" w:rsidRDefault="00EF21C1" w:rsidP="007353E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7353E5">
              <w:rPr>
                <w:rFonts w:asciiTheme="minorHAnsi" w:hAnsiTheme="minorHAnsi"/>
                <w:b/>
                <w:sz w:val="18"/>
                <w:szCs w:val="18"/>
              </w:rPr>
              <w:t>podíl</w:t>
            </w:r>
          </w:p>
        </w:tc>
        <w:tc>
          <w:tcPr>
            <w:tcW w:w="1101" w:type="dxa"/>
          </w:tcPr>
          <w:p w:rsidR="00EF21C1" w:rsidRPr="007353E5" w:rsidRDefault="00EF21C1" w:rsidP="007353E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7353E5">
              <w:rPr>
                <w:rFonts w:asciiTheme="minorHAnsi" w:hAnsiTheme="minorHAnsi"/>
                <w:b/>
                <w:sz w:val="18"/>
                <w:szCs w:val="18"/>
              </w:rPr>
              <w:t>do školy vyjíždí</w:t>
            </w:r>
          </w:p>
        </w:tc>
        <w:tc>
          <w:tcPr>
            <w:tcW w:w="1100" w:type="dxa"/>
          </w:tcPr>
          <w:p w:rsidR="00EF21C1" w:rsidRPr="007353E5" w:rsidRDefault="00EF21C1" w:rsidP="00EF21C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7353E5">
              <w:rPr>
                <w:rFonts w:asciiTheme="minorHAnsi" w:hAnsiTheme="minorHAnsi"/>
                <w:b/>
                <w:sz w:val="18"/>
                <w:szCs w:val="18"/>
              </w:rPr>
              <w:t>z toho mimo obec</w:t>
            </w:r>
          </w:p>
        </w:tc>
        <w:tc>
          <w:tcPr>
            <w:tcW w:w="1101" w:type="dxa"/>
          </w:tcPr>
          <w:p w:rsidR="00EF21C1" w:rsidRPr="007353E5" w:rsidRDefault="00EF21C1" w:rsidP="007353E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7353E5">
              <w:rPr>
                <w:rFonts w:asciiTheme="minorHAnsi" w:hAnsiTheme="minorHAnsi"/>
                <w:b/>
                <w:sz w:val="18"/>
                <w:szCs w:val="18"/>
              </w:rPr>
              <w:t>podíl</w:t>
            </w:r>
          </w:p>
        </w:tc>
        <w:tc>
          <w:tcPr>
            <w:tcW w:w="1101" w:type="dxa"/>
          </w:tcPr>
          <w:p w:rsidR="00EF21C1" w:rsidRPr="007353E5" w:rsidRDefault="00EF21C1" w:rsidP="00EF21C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EF21C1">
              <w:rPr>
                <w:rFonts w:asciiTheme="minorHAnsi" w:hAnsiTheme="minorHAnsi"/>
                <w:b/>
                <w:sz w:val="18"/>
                <w:szCs w:val="18"/>
              </w:rPr>
              <w:t>z věkové kategorie 15 až 6</w:t>
            </w:r>
            <w:r>
              <w:rPr>
                <w:rFonts w:asciiTheme="minorHAnsi" w:hAnsiTheme="minorHAnsi"/>
                <w:b/>
                <w:sz w:val="18"/>
                <w:szCs w:val="18"/>
              </w:rPr>
              <w:t xml:space="preserve">4 </w:t>
            </w:r>
            <w:r w:rsidRPr="00EF21C1">
              <w:rPr>
                <w:rFonts w:asciiTheme="minorHAnsi" w:hAnsiTheme="minorHAnsi"/>
                <w:b/>
                <w:sz w:val="18"/>
                <w:szCs w:val="18"/>
              </w:rPr>
              <w:t>vyjíždí mimo obec</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Aš</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1 762</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896</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50,9%</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624</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297</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47,6%</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16,7%</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Krupka</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2 195</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1 745</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79,5%</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950</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523</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55,1%</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27,9%</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Chodov</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2 677</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2 124</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79,3%</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809</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524</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64,8%</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28,9%</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Klášterec nad Ohří</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2 764</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1 603</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58,0%</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986</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508</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51,5%</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23,6%</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Bílina</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2 290</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1 203</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52,5%</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731</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435</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59,5%</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17,6%</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vAlign w:val="bottom"/>
          </w:tcPr>
          <w:p w:rsidR="00EF21C1" w:rsidRPr="009630B5" w:rsidRDefault="00EF21C1" w:rsidP="00EC315A">
            <w:pPr>
              <w:spacing w:before="0" w:after="0" w:line="240" w:lineRule="auto"/>
              <w:rPr>
                <w:rFonts w:asciiTheme="minorHAnsi" w:hAnsiTheme="minorHAnsi" w:cs="Arial"/>
                <w:b/>
                <w:bCs/>
                <w:color w:val="000000"/>
                <w:sz w:val="16"/>
                <w:szCs w:val="16"/>
              </w:rPr>
            </w:pPr>
            <w:r w:rsidRPr="009630B5">
              <w:rPr>
                <w:rFonts w:asciiTheme="minorHAnsi" w:hAnsiTheme="minorHAnsi" w:cs="Arial"/>
                <w:b/>
                <w:bCs/>
                <w:color w:val="000000"/>
                <w:sz w:val="16"/>
                <w:szCs w:val="16"/>
              </w:rPr>
              <w:t>Ostrov</w:t>
            </w:r>
          </w:p>
        </w:tc>
        <w:tc>
          <w:tcPr>
            <w:tcW w:w="1100" w:type="dxa"/>
            <w:shd w:val="clear" w:color="auto" w:fill="D9D9D9" w:themeFill="background1" w:themeFillShade="D9"/>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3 277</w:t>
            </w:r>
          </w:p>
        </w:tc>
        <w:tc>
          <w:tcPr>
            <w:tcW w:w="1101" w:type="dxa"/>
            <w:shd w:val="clear" w:color="auto" w:fill="D9D9D9" w:themeFill="background1" w:themeFillShade="D9"/>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2 024</w:t>
            </w:r>
          </w:p>
        </w:tc>
        <w:tc>
          <w:tcPr>
            <w:tcW w:w="1100" w:type="dxa"/>
            <w:shd w:val="clear" w:color="auto" w:fill="D9D9D9" w:themeFill="background1" w:themeFillShade="D9"/>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61,8%</w:t>
            </w:r>
          </w:p>
        </w:tc>
        <w:tc>
          <w:tcPr>
            <w:tcW w:w="1101" w:type="dxa"/>
            <w:shd w:val="clear" w:color="auto" w:fill="D9D9D9" w:themeFill="background1" w:themeFillShade="D9"/>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1 082</w:t>
            </w:r>
          </w:p>
        </w:tc>
        <w:tc>
          <w:tcPr>
            <w:tcW w:w="1100" w:type="dxa"/>
            <w:shd w:val="clear" w:color="auto" w:fill="D9D9D9" w:themeFill="background1" w:themeFillShade="D9"/>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546</w:t>
            </w:r>
          </w:p>
        </w:tc>
        <w:tc>
          <w:tcPr>
            <w:tcW w:w="1101" w:type="dxa"/>
            <w:shd w:val="clear" w:color="auto" w:fill="D9D9D9" w:themeFill="background1" w:themeFillShade="D9"/>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50,5%</w:t>
            </w:r>
          </w:p>
        </w:tc>
        <w:tc>
          <w:tcPr>
            <w:tcW w:w="1101" w:type="dxa"/>
            <w:shd w:val="clear" w:color="auto" w:fill="D9D9D9" w:themeFill="background1" w:themeFillShade="D9"/>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25,8%</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Kadaň</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2 882</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1 134</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39,3%</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955</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403</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42,2%</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16,6%</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Louny</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3 379</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1 666</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49,3%</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1 002</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525</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52,4%</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20,4%</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Žatec</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3 183</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1 473</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46,3%</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1 234</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511</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41,4%</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20,3%</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Jirkov</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3 482</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2 974</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85,4%</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1 312</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879</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67,0%</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29,0%</w:t>
            </w:r>
          </w:p>
        </w:tc>
      </w:tr>
      <w:tr w:rsidR="00EF21C1" w:rsidRPr="00C4366F" w:rsidTr="00686A9A">
        <w:tc>
          <w:tcPr>
            <w:cnfStyle w:val="001000000000" w:firstRow="0" w:lastRow="0" w:firstColumn="1" w:lastColumn="0" w:oddVBand="0" w:evenVBand="0" w:oddHBand="0" w:evenHBand="0" w:firstRowFirstColumn="0" w:firstRowLastColumn="0" w:lastRowFirstColumn="0" w:lastRowLastColumn="0"/>
            <w:tcW w:w="1668" w:type="dxa"/>
            <w:vAlign w:val="bottom"/>
          </w:tcPr>
          <w:p w:rsidR="00EF21C1" w:rsidRPr="009630B5" w:rsidRDefault="00EF21C1" w:rsidP="00EC315A">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Sokolov</w:t>
            </w:r>
          </w:p>
        </w:tc>
        <w:tc>
          <w:tcPr>
            <w:tcW w:w="1100"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4 210</w:t>
            </w:r>
          </w:p>
        </w:tc>
        <w:tc>
          <w:tcPr>
            <w:tcW w:w="1101"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2 326</w:t>
            </w:r>
          </w:p>
        </w:tc>
        <w:tc>
          <w:tcPr>
            <w:tcW w:w="1100"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55,2%</w:t>
            </w:r>
          </w:p>
        </w:tc>
        <w:tc>
          <w:tcPr>
            <w:tcW w:w="1101" w:type="dxa"/>
          </w:tcPr>
          <w:p w:rsidR="00EF21C1" w:rsidRPr="007353E5" w:rsidRDefault="00EF21C1" w:rsidP="007353E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7353E5">
              <w:rPr>
                <w:rFonts w:asciiTheme="minorHAnsi" w:hAnsiTheme="minorHAnsi" w:cstheme="minorHAnsi"/>
                <w:color w:val="000000"/>
                <w:sz w:val="16"/>
                <w:szCs w:val="16"/>
              </w:rPr>
              <w:t>1 377</w:t>
            </w:r>
          </w:p>
        </w:tc>
        <w:tc>
          <w:tcPr>
            <w:tcW w:w="1100" w:type="dxa"/>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598</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43,4%</w:t>
            </w:r>
          </w:p>
        </w:tc>
        <w:tc>
          <w:tcPr>
            <w:tcW w:w="1101" w:type="dxa"/>
            <w:vAlign w:val="bottom"/>
          </w:tcPr>
          <w:p w:rsidR="00EF21C1" w:rsidRPr="00EF21C1" w:rsidRDefault="00EF21C1" w:rsidP="00EF21C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EF21C1">
              <w:rPr>
                <w:rFonts w:asciiTheme="minorHAnsi" w:hAnsiTheme="minorHAnsi" w:cstheme="minorHAnsi"/>
                <w:color w:val="000000"/>
                <w:sz w:val="16"/>
                <w:szCs w:val="16"/>
              </w:rPr>
              <w:t>21,9%</w:t>
            </w:r>
          </w:p>
        </w:tc>
      </w:tr>
    </w:tbl>
    <w:p w:rsidR="007353E5" w:rsidRPr="008336AF" w:rsidRDefault="007353E5" w:rsidP="007353E5">
      <w:pPr>
        <w:spacing w:before="0" w:after="0"/>
        <w:rPr>
          <w:sz w:val="16"/>
          <w:szCs w:val="16"/>
        </w:rPr>
      </w:pPr>
      <w:r w:rsidRPr="008336AF">
        <w:rPr>
          <w:sz w:val="16"/>
          <w:szCs w:val="16"/>
        </w:rPr>
        <w:t xml:space="preserve">Zdroj: </w:t>
      </w:r>
      <w:r w:rsidRPr="007353E5">
        <w:rPr>
          <w:sz w:val="16"/>
          <w:szCs w:val="16"/>
        </w:rPr>
        <w:t xml:space="preserve">ČSÚ – veřejná databáze  </w:t>
      </w:r>
    </w:p>
    <w:p w:rsidR="00363BEE" w:rsidRDefault="00363BEE">
      <w:pPr>
        <w:spacing w:before="0" w:after="0" w:line="240" w:lineRule="auto"/>
        <w:jc w:val="left"/>
        <w:rPr>
          <w:sz w:val="24"/>
          <w:szCs w:val="24"/>
        </w:rPr>
      </w:pPr>
    </w:p>
    <w:p w:rsidR="00B16F4B" w:rsidRDefault="00686A9A" w:rsidP="007E7183">
      <w:pPr>
        <w:spacing w:before="0" w:after="0" w:line="240" w:lineRule="auto"/>
        <w:rPr>
          <w:szCs w:val="24"/>
        </w:rPr>
      </w:pPr>
      <w:r>
        <w:rPr>
          <w:szCs w:val="24"/>
        </w:rPr>
        <w:t>Z porovnání Ostrova</w:t>
      </w:r>
      <w:r w:rsidR="003D566A">
        <w:rPr>
          <w:szCs w:val="24"/>
        </w:rPr>
        <w:t xml:space="preserve"> a dalších souměřitelných měst regionu je vidět několik zajímavých postřehů. Pro Ostrov je významné zjištění, že více než čtvrtina obyvatel ve věku 15 až 64 let vyjíždí za prací </w:t>
      </w:r>
      <w:r w:rsidR="003D566A">
        <w:rPr>
          <w:szCs w:val="24"/>
        </w:rPr>
        <w:lastRenderedPageBreak/>
        <w:t>nebo do školy mimo město. Vyšší hodnoty vykazují pouze města s významným centrem s gravitačními účinky v bezprostřední blízkosti (Krupka – Teplice a Ústí, Chodov – Karlovy Vary, Jirkov – Chomutov).</w:t>
      </w:r>
    </w:p>
    <w:p w:rsidR="00B16F4B" w:rsidRDefault="00B16F4B" w:rsidP="007E7183">
      <w:pPr>
        <w:spacing w:before="0" w:after="0" w:line="240" w:lineRule="auto"/>
        <w:rPr>
          <w:szCs w:val="24"/>
        </w:rPr>
      </w:pPr>
    </w:p>
    <w:p w:rsidR="00796BB3" w:rsidRDefault="00796BB3" w:rsidP="007E7183">
      <w:pPr>
        <w:spacing w:before="0" w:after="0" w:line="240" w:lineRule="auto"/>
        <w:rPr>
          <w:sz w:val="24"/>
          <w:szCs w:val="24"/>
        </w:rPr>
      </w:pPr>
    </w:p>
    <w:p w:rsidR="0035225A" w:rsidRPr="007B0DDF" w:rsidRDefault="0035225A" w:rsidP="0035225A">
      <w:pPr>
        <w:pStyle w:val="Nadpis4"/>
        <w:pBdr>
          <w:top w:val="none" w:sz="0" w:space="0" w:color="auto"/>
          <w:left w:val="none" w:sz="0" w:space="0" w:color="auto"/>
        </w:pBdr>
        <w:shd w:val="clear" w:color="auto" w:fill="372C74"/>
        <w:spacing w:before="0" w:after="200"/>
        <w:ind w:firstLine="0"/>
        <w:rPr>
          <w:color w:val="auto"/>
          <w:spacing w:val="4"/>
          <w:szCs w:val="24"/>
        </w:rPr>
      </w:pPr>
      <w:bookmarkStart w:id="79" w:name="_Toc516058316"/>
      <w:r w:rsidRPr="007B0DDF">
        <w:rPr>
          <w:color w:val="auto"/>
          <w:spacing w:val="4"/>
          <w:szCs w:val="24"/>
        </w:rPr>
        <w:t>I</w:t>
      </w:r>
      <w:r>
        <w:rPr>
          <w:color w:val="auto"/>
          <w:spacing w:val="4"/>
          <w:szCs w:val="24"/>
        </w:rPr>
        <w:t>I</w:t>
      </w:r>
      <w:r w:rsidRPr="007B0DDF">
        <w:rPr>
          <w:color w:val="auto"/>
          <w:spacing w:val="4"/>
          <w:szCs w:val="24"/>
        </w:rPr>
        <w:t xml:space="preserve">I. </w:t>
      </w:r>
      <w:r>
        <w:rPr>
          <w:color w:val="auto"/>
          <w:spacing w:val="4"/>
          <w:szCs w:val="24"/>
        </w:rPr>
        <w:t>Cestovní ruch</w:t>
      </w:r>
      <w:bookmarkEnd w:id="79"/>
    </w:p>
    <w:p w:rsidR="00A36A46" w:rsidRPr="00957F3A" w:rsidRDefault="009A7F22" w:rsidP="00957F3A">
      <w:r>
        <w:t>Rozvoj cestovního ruch je jednou z oblastí, kde lze spatřovat potenciál pro rozvoj ekonomických aktivit</w:t>
      </w:r>
      <w:r w:rsidR="003D566A">
        <w:t xml:space="preserve"> v regionu</w:t>
      </w:r>
      <w:r>
        <w:t xml:space="preserve">. Parametry z období 2012 až 2016 však ukazují spíše na sestupný trend, jak v objemu hromadných ubytovacích kapacit, </w:t>
      </w:r>
      <w:r w:rsidR="008F066D">
        <w:t xml:space="preserve">tak i v jejich vytíženosti. </w:t>
      </w:r>
    </w:p>
    <w:p w:rsidR="008524D9" w:rsidRDefault="008524D9" w:rsidP="008524D9">
      <w:pPr>
        <w:spacing w:before="0" w:after="120"/>
        <w:rPr>
          <w:rFonts w:asciiTheme="minorHAnsi" w:hAnsiTheme="minorHAnsi" w:cs="Arial-ItalicMT"/>
          <w:iCs/>
          <w:sz w:val="18"/>
          <w:szCs w:val="18"/>
        </w:rPr>
      </w:pPr>
      <w:bookmarkStart w:id="80" w:name="_Toc516059028"/>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19</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00E4386C">
        <w:rPr>
          <w:rFonts w:asciiTheme="minorHAnsi" w:hAnsiTheme="minorHAnsi" w:cs="Arial-ItalicMT"/>
          <w:iCs/>
          <w:sz w:val="18"/>
          <w:szCs w:val="18"/>
        </w:rPr>
        <w:t>Ubytovací potenciál a jeho vytíženost</w:t>
      </w:r>
      <w:bookmarkEnd w:id="80"/>
    </w:p>
    <w:tbl>
      <w:tblPr>
        <w:tblStyle w:val="Mkatabulky"/>
        <w:tblW w:w="0" w:type="auto"/>
        <w:tblLook w:val="04A0" w:firstRow="1" w:lastRow="0" w:firstColumn="1" w:lastColumn="0" w:noHBand="0" w:noVBand="1"/>
      </w:tblPr>
      <w:tblGrid>
        <w:gridCol w:w="4928"/>
        <w:gridCol w:w="904"/>
        <w:gridCol w:w="905"/>
        <w:gridCol w:w="905"/>
        <w:gridCol w:w="905"/>
        <w:gridCol w:w="905"/>
      </w:tblGrid>
      <w:tr w:rsidR="009A7F22" w:rsidTr="009A7F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9A7F22" w:rsidRDefault="009A7F22" w:rsidP="008524D9">
            <w:pPr>
              <w:spacing w:before="0" w:after="120"/>
              <w:rPr>
                <w:rFonts w:asciiTheme="minorHAnsi" w:hAnsiTheme="minorHAnsi" w:cs="Arial-ItalicMT"/>
                <w:iCs/>
                <w:sz w:val="18"/>
                <w:szCs w:val="18"/>
              </w:rPr>
            </w:pPr>
          </w:p>
        </w:tc>
        <w:tc>
          <w:tcPr>
            <w:tcW w:w="904" w:type="dxa"/>
          </w:tcPr>
          <w:p w:rsidR="009A7F22" w:rsidRPr="00E4386C" w:rsidRDefault="009A7F22"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color w:val="FFFFFF"/>
                <w:spacing w:val="0"/>
                <w:sz w:val="18"/>
                <w:szCs w:val="18"/>
                <w:lang w:bidi="ar-SA"/>
              </w:rPr>
            </w:pPr>
            <w:r w:rsidRPr="00E4386C">
              <w:rPr>
                <w:rFonts w:asciiTheme="majorHAnsi" w:eastAsia="Times New Roman" w:hAnsiTheme="majorHAnsi" w:cs="Arial"/>
                <w:b/>
                <w:color w:val="FFFFFF"/>
                <w:spacing w:val="0"/>
                <w:sz w:val="18"/>
                <w:szCs w:val="18"/>
                <w:lang w:bidi="ar-SA"/>
              </w:rPr>
              <w:t>20</w:t>
            </w:r>
            <w:r>
              <w:rPr>
                <w:rFonts w:asciiTheme="majorHAnsi" w:eastAsia="Times New Roman" w:hAnsiTheme="majorHAnsi" w:cs="Arial"/>
                <w:b/>
                <w:color w:val="FFFFFF"/>
                <w:spacing w:val="0"/>
                <w:sz w:val="18"/>
                <w:szCs w:val="18"/>
                <w:lang w:bidi="ar-SA"/>
              </w:rPr>
              <w:t>12</w:t>
            </w:r>
          </w:p>
        </w:tc>
        <w:tc>
          <w:tcPr>
            <w:tcW w:w="905" w:type="dxa"/>
          </w:tcPr>
          <w:p w:rsidR="009A7F22" w:rsidRPr="00E4386C" w:rsidRDefault="009A7F22"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color w:val="FFFFFF"/>
                <w:spacing w:val="0"/>
                <w:sz w:val="18"/>
                <w:szCs w:val="18"/>
                <w:lang w:bidi="ar-SA"/>
              </w:rPr>
            </w:pPr>
            <w:r w:rsidRPr="00E4386C">
              <w:rPr>
                <w:rFonts w:asciiTheme="majorHAnsi" w:eastAsia="Times New Roman" w:hAnsiTheme="majorHAnsi" w:cs="Arial"/>
                <w:b/>
                <w:color w:val="FFFFFF"/>
                <w:spacing w:val="0"/>
                <w:sz w:val="18"/>
                <w:szCs w:val="18"/>
                <w:lang w:bidi="ar-SA"/>
              </w:rPr>
              <w:t>201</w:t>
            </w:r>
            <w:r>
              <w:rPr>
                <w:rFonts w:asciiTheme="majorHAnsi" w:eastAsia="Times New Roman" w:hAnsiTheme="majorHAnsi" w:cs="Arial"/>
                <w:b/>
                <w:color w:val="FFFFFF"/>
                <w:spacing w:val="0"/>
                <w:sz w:val="18"/>
                <w:szCs w:val="18"/>
                <w:lang w:bidi="ar-SA"/>
              </w:rPr>
              <w:t>3</w:t>
            </w:r>
          </w:p>
        </w:tc>
        <w:tc>
          <w:tcPr>
            <w:tcW w:w="905" w:type="dxa"/>
          </w:tcPr>
          <w:p w:rsidR="009A7F22" w:rsidRPr="00E4386C" w:rsidRDefault="009A7F22"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color w:val="FFFFFF"/>
                <w:spacing w:val="0"/>
                <w:sz w:val="18"/>
                <w:szCs w:val="18"/>
                <w:lang w:bidi="ar-SA"/>
              </w:rPr>
            </w:pPr>
            <w:r w:rsidRPr="00E4386C">
              <w:rPr>
                <w:rFonts w:asciiTheme="majorHAnsi" w:eastAsia="Times New Roman" w:hAnsiTheme="majorHAnsi" w:cs="Arial"/>
                <w:b/>
                <w:color w:val="FFFFFF"/>
                <w:spacing w:val="0"/>
                <w:sz w:val="18"/>
                <w:szCs w:val="18"/>
                <w:lang w:bidi="ar-SA"/>
              </w:rPr>
              <w:t>201</w:t>
            </w:r>
            <w:r>
              <w:rPr>
                <w:rFonts w:asciiTheme="majorHAnsi" w:eastAsia="Times New Roman" w:hAnsiTheme="majorHAnsi" w:cs="Arial"/>
                <w:b/>
                <w:color w:val="FFFFFF"/>
                <w:spacing w:val="0"/>
                <w:sz w:val="18"/>
                <w:szCs w:val="18"/>
                <w:lang w:bidi="ar-SA"/>
              </w:rPr>
              <w:t>4</w:t>
            </w:r>
          </w:p>
        </w:tc>
        <w:tc>
          <w:tcPr>
            <w:tcW w:w="905" w:type="dxa"/>
          </w:tcPr>
          <w:p w:rsidR="009A7F22" w:rsidRPr="00E4386C" w:rsidRDefault="009A7F22"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color w:val="FFFFFF"/>
                <w:spacing w:val="0"/>
                <w:sz w:val="18"/>
                <w:szCs w:val="18"/>
                <w:lang w:bidi="ar-SA"/>
              </w:rPr>
            </w:pPr>
            <w:r w:rsidRPr="00E4386C">
              <w:rPr>
                <w:rFonts w:asciiTheme="majorHAnsi" w:eastAsia="Times New Roman" w:hAnsiTheme="majorHAnsi" w:cs="Arial"/>
                <w:b/>
                <w:color w:val="FFFFFF"/>
                <w:spacing w:val="0"/>
                <w:sz w:val="18"/>
                <w:szCs w:val="18"/>
                <w:lang w:bidi="ar-SA"/>
              </w:rPr>
              <w:t>201</w:t>
            </w:r>
            <w:r>
              <w:rPr>
                <w:rFonts w:asciiTheme="majorHAnsi" w:eastAsia="Times New Roman" w:hAnsiTheme="majorHAnsi" w:cs="Arial"/>
                <w:b/>
                <w:color w:val="FFFFFF"/>
                <w:spacing w:val="0"/>
                <w:sz w:val="18"/>
                <w:szCs w:val="18"/>
                <w:lang w:bidi="ar-SA"/>
              </w:rPr>
              <w:t>5</w:t>
            </w:r>
          </w:p>
        </w:tc>
        <w:tc>
          <w:tcPr>
            <w:tcW w:w="905" w:type="dxa"/>
          </w:tcPr>
          <w:p w:rsidR="009A7F22" w:rsidRPr="00E4386C" w:rsidRDefault="009A7F22" w:rsidP="00EC315A">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
                <w:color w:val="FFFFFF"/>
                <w:spacing w:val="0"/>
                <w:sz w:val="18"/>
                <w:szCs w:val="18"/>
                <w:lang w:bidi="ar-SA"/>
              </w:rPr>
            </w:pPr>
            <w:r w:rsidRPr="00E4386C">
              <w:rPr>
                <w:rFonts w:asciiTheme="majorHAnsi" w:eastAsia="Times New Roman" w:hAnsiTheme="majorHAnsi" w:cs="Arial"/>
                <w:b/>
                <w:color w:val="FFFFFF"/>
                <w:spacing w:val="0"/>
                <w:sz w:val="18"/>
                <w:szCs w:val="18"/>
                <w:lang w:bidi="ar-SA"/>
              </w:rPr>
              <w:t>201</w:t>
            </w:r>
            <w:r>
              <w:rPr>
                <w:rFonts w:asciiTheme="majorHAnsi" w:eastAsia="Times New Roman" w:hAnsiTheme="majorHAnsi" w:cs="Arial"/>
                <w:b/>
                <w:color w:val="FFFFFF"/>
                <w:spacing w:val="0"/>
                <w:sz w:val="18"/>
                <w:szCs w:val="18"/>
                <w:lang w:bidi="ar-SA"/>
              </w:rPr>
              <w:t>6</w:t>
            </w:r>
          </w:p>
        </w:tc>
      </w:tr>
      <w:tr w:rsidR="009A7F22" w:rsidRPr="009A7F22" w:rsidTr="00EC315A">
        <w:tc>
          <w:tcPr>
            <w:cnfStyle w:val="001000000000" w:firstRow="0" w:lastRow="0" w:firstColumn="1" w:lastColumn="0" w:oddVBand="0" w:evenVBand="0" w:oddHBand="0" w:evenHBand="0" w:firstRowFirstColumn="0" w:firstRowLastColumn="0" w:lastRowFirstColumn="0" w:lastRowLastColumn="0"/>
            <w:tcW w:w="4928" w:type="dxa"/>
          </w:tcPr>
          <w:p w:rsidR="009A7F22" w:rsidRPr="009A7F22" w:rsidRDefault="009A7F22" w:rsidP="009A7F22">
            <w:pPr>
              <w:spacing w:before="0" w:after="0" w:line="240" w:lineRule="auto"/>
              <w:rPr>
                <w:rFonts w:asciiTheme="minorHAnsi" w:hAnsiTheme="minorHAnsi" w:cs="Arial-ItalicMT"/>
                <w:iCs/>
                <w:sz w:val="16"/>
                <w:szCs w:val="16"/>
              </w:rPr>
            </w:pPr>
            <w:r w:rsidRPr="009A7F22">
              <w:rPr>
                <w:rFonts w:asciiTheme="minorHAnsi" w:hAnsiTheme="minorHAnsi" w:cs="Arial-ItalicMT"/>
                <w:iCs/>
                <w:sz w:val="16"/>
                <w:szCs w:val="16"/>
              </w:rPr>
              <w:t>Průměrný počet přenocování</w:t>
            </w:r>
          </w:p>
        </w:tc>
        <w:tc>
          <w:tcPr>
            <w:tcW w:w="904"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2,6</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2,8</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3,2</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2,5</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2,7</w:t>
            </w:r>
          </w:p>
        </w:tc>
      </w:tr>
      <w:tr w:rsidR="009A7F22" w:rsidRPr="009A7F22" w:rsidTr="00EC315A">
        <w:tc>
          <w:tcPr>
            <w:cnfStyle w:val="001000000000" w:firstRow="0" w:lastRow="0" w:firstColumn="1" w:lastColumn="0" w:oddVBand="0" w:evenVBand="0" w:oddHBand="0" w:evenHBand="0" w:firstRowFirstColumn="0" w:firstRowLastColumn="0" w:lastRowFirstColumn="0" w:lastRowLastColumn="0"/>
            <w:tcW w:w="4928" w:type="dxa"/>
          </w:tcPr>
          <w:p w:rsidR="009A7F22" w:rsidRPr="009A7F22" w:rsidRDefault="009A7F22" w:rsidP="009A7F22">
            <w:pPr>
              <w:pStyle w:val="Bezmezer"/>
              <w:tabs>
                <w:tab w:val="left" w:pos="8364"/>
                <w:tab w:val="left" w:pos="9072"/>
              </w:tabs>
              <w:jc w:val="left"/>
              <w:rPr>
                <w:rFonts w:asciiTheme="majorHAnsi" w:hAnsiTheme="majorHAnsi"/>
                <w:sz w:val="16"/>
                <w:szCs w:val="16"/>
              </w:rPr>
            </w:pPr>
            <w:r w:rsidRPr="009A7F22">
              <w:rPr>
                <w:rFonts w:asciiTheme="majorHAnsi" w:hAnsiTheme="majorHAnsi"/>
                <w:sz w:val="16"/>
                <w:szCs w:val="16"/>
              </w:rPr>
              <w:t>Počet lůžek v hromadných ubytovacích zařízeních na 1000 obyvatel</w:t>
            </w:r>
          </w:p>
        </w:tc>
        <w:tc>
          <w:tcPr>
            <w:tcW w:w="904"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15,6</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15,7</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11,4</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14,3</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11,7</w:t>
            </w:r>
          </w:p>
        </w:tc>
      </w:tr>
      <w:tr w:rsidR="009A7F22" w:rsidRPr="009A7F22" w:rsidTr="00EC315A">
        <w:tc>
          <w:tcPr>
            <w:cnfStyle w:val="001000000000" w:firstRow="0" w:lastRow="0" w:firstColumn="1" w:lastColumn="0" w:oddVBand="0" w:evenVBand="0" w:oddHBand="0" w:evenHBand="0" w:firstRowFirstColumn="0" w:firstRowLastColumn="0" w:lastRowFirstColumn="0" w:lastRowLastColumn="0"/>
            <w:tcW w:w="4928" w:type="dxa"/>
          </w:tcPr>
          <w:p w:rsidR="009A7F22" w:rsidRPr="009A7F22" w:rsidRDefault="009A7F22" w:rsidP="009A7F22">
            <w:pPr>
              <w:pStyle w:val="Bezmezer"/>
              <w:tabs>
                <w:tab w:val="left" w:pos="8364"/>
                <w:tab w:val="left" w:pos="9072"/>
              </w:tabs>
              <w:jc w:val="left"/>
              <w:rPr>
                <w:rFonts w:asciiTheme="majorHAnsi" w:hAnsiTheme="majorHAnsi"/>
                <w:sz w:val="16"/>
                <w:szCs w:val="16"/>
              </w:rPr>
            </w:pPr>
            <w:r w:rsidRPr="009A7F22">
              <w:rPr>
                <w:rFonts w:asciiTheme="majorHAnsi" w:hAnsiTheme="majorHAnsi"/>
                <w:sz w:val="16"/>
                <w:szCs w:val="16"/>
              </w:rPr>
              <w:t>Vytíženost hromadných ubytovacích kapacit</w:t>
            </w:r>
          </w:p>
        </w:tc>
        <w:tc>
          <w:tcPr>
            <w:tcW w:w="904"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19,0%</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16,0%</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28,4%</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18,9%</w:t>
            </w:r>
          </w:p>
        </w:tc>
        <w:tc>
          <w:tcPr>
            <w:tcW w:w="905" w:type="dxa"/>
            <w:vAlign w:val="bottom"/>
          </w:tcPr>
          <w:p w:rsidR="009A7F22" w:rsidRPr="009A7F22" w:rsidRDefault="009A7F22" w:rsidP="009A7F2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9A7F22">
              <w:rPr>
                <w:rFonts w:cs="Calibri"/>
                <w:sz w:val="16"/>
                <w:szCs w:val="16"/>
              </w:rPr>
              <w:t>23,6%</w:t>
            </w:r>
          </w:p>
        </w:tc>
      </w:tr>
    </w:tbl>
    <w:p w:rsidR="001E05AD" w:rsidRPr="008336AF" w:rsidRDefault="001E05AD" w:rsidP="001E05AD">
      <w:pPr>
        <w:spacing w:before="0"/>
        <w:rPr>
          <w:sz w:val="16"/>
          <w:szCs w:val="16"/>
        </w:rPr>
      </w:pPr>
      <w:r w:rsidRPr="008336AF">
        <w:rPr>
          <w:sz w:val="16"/>
          <w:szCs w:val="16"/>
        </w:rPr>
        <w:t xml:space="preserve">Zdroj: </w:t>
      </w:r>
      <w:r w:rsidR="00E4386C" w:rsidRPr="00E4386C">
        <w:rPr>
          <w:sz w:val="16"/>
          <w:szCs w:val="16"/>
        </w:rPr>
        <w:t>Zdroj: datové podklady pro projekt TAČR OMEGA - RegioPartner 2017</w:t>
      </w:r>
    </w:p>
    <w:p w:rsidR="004139D6" w:rsidRPr="00AA4AA7" w:rsidRDefault="00AA4AA7" w:rsidP="00AA4AA7">
      <w:r w:rsidRPr="00AA4AA7">
        <w:t xml:space="preserve">Ubytovací potenciál a jeho vytíženost však není </w:t>
      </w:r>
      <w:r>
        <w:t>jedinou složkou služeb cestovního ruchu, které zahrnují také stravování a další služby pro volnočasové aktivity. Z analýzy učiněné na datech z roku 2014 vyplývá, že podíl služeb cestovního ruchu na zaměstnanosti v Ostrově je zhruba dvojnásobný, než u porovnávaných měst v regionu. To by potvrzovalo, že potenciál v této oblasti existuje. P</w:t>
      </w:r>
      <w:r w:rsidR="008A0492">
        <w:t>ozitivní závěry ještě podtrhují výrazně lepší mzdové podmínky v tomto sektoru služeb v porovnání s ostatními městy.</w:t>
      </w:r>
    </w:p>
    <w:p w:rsidR="004139D6" w:rsidRDefault="004139D6" w:rsidP="004139D6">
      <w:pPr>
        <w:spacing w:before="0" w:after="120"/>
        <w:rPr>
          <w:rFonts w:asciiTheme="majorHAnsi" w:hAnsiTheme="majorHAnsi"/>
        </w:rPr>
      </w:pPr>
      <w:bookmarkStart w:id="81" w:name="_Toc516059029"/>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20</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Pr>
          <w:rFonts w:asciiTheme="minorHAnsi" w:hAnsiTheme="minorHAnsi" w:cs="Arial-ItalicMT"/>
          <w:iCs/>
          <w:sz w:val="18"/>
          <w:szCs w:val="18"/>
        </w:rPr>
        <w:t xml:space="preserve">Strukturální parametry ekonomické činnosti </w:t>
      </w:r>
      <w:r w:rsidR="00957F3A">
        <w:rPr>
          <w:rFonts w:asciiTheme="minorHAnsi" w:hAnsiTheme="minorHAnsi" w:cs="Arial-ItalicMT"/>
          <w:iCs/>
          <w:sz w:val="18"/>
          <w:szCs w:val="18"/>
        </w:rPr>
        <w:t xml:space="preserve">v oblasti cestovního ruchu </w:t>
      </w:r>
      <w:r>
        <w:rPr>
          <w:rFonts w:asciiTheme="minorHAnsi" w:hAnsiTheme="minorHAnsi" w:cs="Arial-ItalicMT"/>
          <w:iCs/>
          <w:sz w:val="18"/>
          <w:szCs w:val="18"/>
        </w:rPr>
        <w:t>v roce 2014</w:t>
      </w:r>
      <w:bookmarkEnd w:id="81"/>
    </w:p>
    <w:tbl>
      <w:tblPr>
        <w:tblStyle w:val="Mkatabulky"/>
        <w:tblW w:w="8330" w:type="dxa"/>
        <w:tblLook w:val="04A0" w:firstRow="1" w:lastRow="0" w:firstColumn="1" w:lastColumn="0" w:noHBand="0" w:noVBand="1"/>
      </w:tblPr>
      <w:tblGrid>
        <w:gridCol w:w="2083"/>
        <w:gridCol w:w="1561"/>
        <w:gridCol w:w="1562"/>
        <w:gridCol w:w="1562"/>
        <w:gridCol w:w="1562"/>
      </w:tblGrid>
      <w:tr w:rsidR="004139D6" w:rsidTr="003D1C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3" w:type="dxa"/>
          </w:tcPr>
          <w:p w:rsidR="004139D6" w:rsidRPr="009630B5" w:rsidRDefault="004139D6" w:rsidP="003D1C58">
            <w:pPr>
              <w:spacing w:before="0" w:after="0" w:line="240" w:lineRule="auto"/>
              <w:jc w:val="center"/>
              <w:rPr>
                <w:rFonts w:asciiTheme="minorHAnsi" w:hAnsiTheme="minorHAnsi"/>
                <w:b/>
                <w:sz w:val="18"/>
                <w:szCs w:val="18"/>
              </w:rPr>
            </w:pPr>
            <w:r>
              <w:rPr>
                <w:rFonts w:asciiTheme="minorHAnsi" w:hAnsiTheme="minorHAnsi"/>
                <w:b/>
                <w:sz w:val="18"/>
                <w:szCs w:val="18"/>
              </w:rPr>
              <w:t>město</w:t>
            </w:r>
          </w:p>
        </w:tc>
        <w:tc>
          <w:tcPr>
            <w:tcW w:w="1561" w:type="dxa"/>
          </w:tcPr>
          <w:p w:rsidR="004139D6" w:rsidRPr="004139D6" w:rsidRDefault="004139D6" w:rsidP="004139D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4139D6">
              <w:rPr>
                <w:rFonts w:asciiTheme="minorHAnsi" w:hAnsiTheme="minorHAnsi"/>
                <w:b/>
                <w:sz w:val="18"/>
                <w:szCs w:val="18"/>
              </w:rPr>
              <w:t>podíl pracovníků v SCR</w:t>
            </w:r>
          </w:p>
        </w:tc>
        <w:tc>
          <w:tcPr>
            <w:tcW w:w="1562" w:type="dxa"/>
          </w:tcPr>
          <w:p w:rsidR="004139D6" w:rsidRPr="004139D6" w:rsidRDefault="004139D6" w:rsidP="004139D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4139D6">
              <w:rPr>
                <w:rFonts w:asciiTheme="minorHAnsi" w:hAnsiTheme="minorHAnsi"/>
                <w:b/>
                <w:sz w:val="18"/>
                <w:szCs w:val="18"/>
              </w:rPr>
              <w:t>podíl přidané hodnoty v SCR</w:t>
            </w:r>
          </w:p>
        </w:tc>
        <w:tc>
          <w:tcPr>
            <w:tcW w:w="1562" w:type="dxa"/>
          </w:tcPr>
          <w:p w:rsidR="004139D6" w:rsidRPr="004139D6" w:rsidRDefault="004139D6" w:rsidP="004139D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4139D6">
              <w:rPr>
                <w:rFonts w:asciiTheme="minorHAnsi" w:hAnsiTheme="minorHAnsi"/>
                <w:b/>
                <w:sz w:val="18"/>
                <w:szCs w:val="18"/>
              </w:rPr>
              <w:t>produktivita práce v SCR</w:t>
            </w:r>
          </w:p>
        </w:tc>
        <w:tc>
          <w:tcPr>
            <w:tcW w:w="1562" w:type="dxa"/>
          </w:tcPr>
          <w:p w:rsidR="004139D6" w:rsidRPr="004139D6" w:rsidRDefault="004139D6" w:rsidP="004139D6">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sz w:val="18"/>
                <w:szCs w:val="18"/>
              </w:rPr>
            </w:pPr>
            <w:r w:rsidRPr="004139D6">
              <w:rPr>
                <w:rFonts w:asciiTheme="minorHAnsi" w:hAnsiTheme="minorHAnsi"/>
                <w:b/>
                <w:sz w:val="18"/>
                <w:szCs w:val="18"/>
              </w:rPr>
              <w:t>průměrná mzda v SCR</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Aš</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2,3%</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2,5%</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621 316</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10 519</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Krupka</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2,3%</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1,7%</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548 026</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10 698</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Chodov</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4,2%</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3,4%</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380 845</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11 914</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Klášterec nad Ohří</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1,7%</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0,9%</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459 338</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12 095</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Bílina</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1,3%</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0,7%</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376 411</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11 929</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shd w:val="clear" w:color="auto" w:fill="D9D9D9" w:themeFill="background1" w:themeFillShade="D9"/>
            <w:vAlign w:val="bottom"/>
          </w:tcPr>
          <w:p w:rsidR="004139D6" w:rsidRPr="009630B5" w:rsidRDefault="004139D6" w:rsidP="003D1C58">
            <w:pPr>
              <w:spacing w:before="0" w:after="0" w:line="240" w:lineRule="auto"/>
              <w:rPr>
                <w:rFonts w:asciiTheme="minorHAnsi" w:hAnsiTheme="minorHAnsi" w:cs="Arial"/>
                <w:b/>
                <w:bCs/>
                <w:color w:val="000000"/>
                <w:sz w:val="16"/>
                <w:szCs w:val="16"/>
              </w:rPr>
            </w:pPr>
            <w:r w:rsidRPr="009630B5">
              <w:rPr>
                <w:rFonts w:asciiTheme="minorHAnsi" w:hAnsiTheme="minorHAnsi" w:cs="Arial"/>
                <w:b/>
                <w:bCs/>
                <w:color w:val="000000"/>
                <w:sz w:val="16"/>
                <w:szCs w:val="16"/>
              </w:rPr>
              <w:t>Ostrov</w:t>
            </w:r>
          </w:p>
        </w:tc>
        <w:tc>
          <w:tcPr>
            <w:tcW w:w="1561" w:type="dxa"/>
            <w:shd w:val="clear" w:color="auto" w:fill="D9D9D9" w:themeFill="background1" w:themeFillShade="D9"/>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6,0%</w:t>
            </w:r>
          </w:p>
        </w:tc>
        <w:tc>
          <w:tcPr>
            <w:tcW w:w="1562" w:type="dxa"/>
            <w:shd w:val="clear" w:color="auto" w:fill="D9D9D9" w:themeFill="background1" w:themeFillShade="D9"/>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3,9%</w:t>
            </w:r>
          </w:p>
        </w:tc>
        <w:tc>
          <w:tcPr>
            <w:tcW w:w="1562" w:type="dxa"/>
            <w:shd w:val="clear" w:color="auto" w:fill="D9D9D9" w:themeFill="background1" w:themeFillShade="D9"/>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411 064</w:t>
            </w:r>
          </w:p>
        </w:tc>
        <w:tc>
          <w:tcPr>
            <w:tcW w:w="1562" w:type="dxa"/>
            <w:shd w:val="clear" w:color="auto" w:fill="D9D9D9" w:themeFill="background1" w:themeFillShade="D9"/>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14 730</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Kadaň</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3,2%</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1,8%</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382 926</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12 059</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Louny</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3,6%</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1,0%</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339 130</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9 705</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Žatec</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2,4%</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1,5%</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484 067</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9 461</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Jirkov</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3,1%</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4,7%</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825 384</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9 478</w:t>
            </w:r>
          </w:p>
        </w:tc>
      </w:tr>
      <w:tr w:rsidR="004139D6" w:rsidRPr="00C4366F" w:rsidTr="003D1C58">
        <w:tc>
          <w:tcPr>
            <w:cnfStyle w:val="001000000000" w:firstRow="0" w:lastRow="0" w:firstColumn="1" w:lastColumn="0" w:oddVBand="0" w:evenVBand="0" w:oddHBand="0" w:evenHBand="0" w:firstRowFirstColumn="0" w:firstRowLastColumn="0" w:lastRowFirstColumn="0" w:lastRowLastColumn="0"/>
            <w:tcW w:w="2083" w:type="dxa"/>
            <w:vAlign w:val="bottom"/>
          </w:tcPr>
          <w:p w:rsidR="004139D6" w:rsidRPr="009630B5" w:rsidRDefault="004139D6" w:rsidP="003D1C58">
            <w:pPr>
              <w:spacing w:before="0" w:after="0" w:line="240" w:lineRule="auto"/>
              <w:rPr>
                <w:rFonts w:asciiTheme="minorHAnsi" w:hAnsiTheme="minorHAnsi" w:cs="Arial"/>
                <w:color w:val="000000"/>
                <w:sz w:val="16"/>
                <w:szCs w:val="16"/>
              </w:rPr>
            </w:pPr>
            <w:r w:rsidRPr="009630B5">
              <w:rPr>
                <w:rFonts w:asciiTheme="minorHAnsi" w:hAnsiTheme="minorHAnsi" w:cs="Arial"/>
                <w:color w:val="000000"/>
                <w:sz w:val="16"/>
                <w:szCs w:val="16"/>
              </w:rPr>
              <w:t>Sokolov</w:t>
            </w:r>
          </w:p>
        </w:tc>
        <w:tc>
          <w:tcPr>
            <w:tcW w:w="1561"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3,1%</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1,7%</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398 818</w:t>
            </w:r>
          </w:p>
        </w:tc>
        <w:tc>
          <w:tcPr>
            <w:tcW w:w="1562" w:type="dxa"/>
            <w:vAlign w:val="bottom"/>
          </w:tcPr>
          <w:p w:rsidR="004139D6" w:rsidRPr="004139D6" w:rsidRDefault="004139D6" w:rsidP="004139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sz w:val="16"/>
                <w:szCs w:val="16"/>
              </w:rPr>
            </w:pPr>
            <w:r w:rsidRPr="004139D6">
              <w:rPr>
                <w:rFonts w:cs="Calibri"/>
                <w:sz w:val="16"/>
                <w:szCs w:val="16"/>
              </w:rPr>
              <w:t>12 345</w:t>
            </w:r>
          </w:p>
        </w:tc>
      </w:tr>
    </w:tbl>
    <w:p w:rsidR="004139D6" w:rsidRPr="008336AF" w:rsidRDefault="004139D6" w:rsidP="004139D6">
      <w:pPr>
        <w:spacing w:before="0" w:after="0" w:line="240" w:lineRule="auto"/>
        <w:rPr>
          <w:sz w:val="16"/>
          <w:szCs w:val="16"/>
        </w:rPr>
      </w:pPr>
      <w:r w:rsidRPr="008336AF">
        <w:rPr>
          <w:sz w:val="16"/>
          <w:szCs w:val="16"/>
        </w:rPr>
        <w:t xml:space="preserve">Zdroj: </w:t>
      </w:r>
      <w:r w:rsidRPr="006D625A">
        <w:rPr>
          <w:sz w:val="16"/>
          <w:szCs w:val="16"/>
        </w:rPr>
        <w:t>datové podklady pro projekt TAČR OMEGA - RegioPartner 2017</w:t>
      </w:r>
    </w:p>
    <w:p w:rsidR="004139D6" w:rsidRPr="004139D6" w:rsidRDefault="004139D6" w:rsidP="004139D6">
      <w:pPr>
        <w:spacing w:before="0"/>
        <w:rPr>
          <w:sz w:val="18"/>
          <w:szCs w:val="18"/>
        </w:rPr>
      </w:pPr>
      <w:r w:rsidRPr="004139D6">
        <w:rPr>
          <w:sz w:val="18"/>
          <w:szCs w:val="18"/>
        </w:rPr>
        <w:t>služby cestovního ruchu (SCR) - ubytování, stravování a pohostinství (NACE 55, 56)</w:t>
      </w:r>
      <w:r w:rsidRPr="004139D6">
        <w:rPr>
          <w:sz w:val="18"/>
          <w:szCs w:val="18"/>
        </w:rPr>
        <w:tab/>
      </w:r>
      <w:r w:rsidRPr="004139D6">
        <w:rPr>
          <w:sz w:val="18"/>
          <w:szCs w:val="18"/>
        </w:rPr>
        <w:tab/>
      </w:r>
      <w:r w:rsidRPr="004139D6">
        <w:rPr>
          <w:sz w:val="18"/>
          <w:szCs w:val="18"/>
        </w:rPr>
        <w:tab/>
      </w:r>
    </w:p>
    <w:p w:rsidR="00250266" w:rsidRDefault="00250266">
      <w:pPr>
        <w:spacing w:before="0" w:after="0" w:line="240" w:lineRule="auto"/>
        <w:jc w:val="left"/>
        <w:rPr>
          <w:rFonts w:asciiTheme="majorHAnsi" w:hAnsiTheme="majorHAnsi"/>
          <w:color w:val="282156"/>
          <w:spacing w:val="10"/>
          <w:szCs w:val="22"/>
        </w:rPr>
      </w:pPr>
      <w:r>
        <w:rPr>
          <w:rFonts w:asciiTheme="majorHAnsi" w:hAnsiTheme="majorHAnsi"/>
        </w:rPr>
        <w:br w:type="page"/>
      </w:r>
    </w:p>
    <w:p w:rsidR="00250266" w:rsidRDefault="00250266" w:rsidP="00250266">
      <w:pPr>
        <w:pStyle w:val="Nadpis6"/>
        <w:rPr>
          <w:rFonts w:asciiTheme="majorHAnsi" w:hAnsiTheme="majorHAnsi"/>
        </w:rPr>
      </w:pPr>
      <w:r>
        <w:rPr>
          <w:rFonts w:asciiTheme="majorHAnsi" w:hAnsiTheme="majorHAnsi"/>
        </w:rPr>
        <w:lastRenderedPageBreak/>
        <w:t>Produkty cestovního ruchu</w:t>
      </w:r>
    </w:p>
    <w:p w:rsidR="00250266" w:rsidRPr="00B100D4" w:rsidRDefault="00250266" w:rsidP="00250266">
      <w:pPr>
        <w:rPr>
          <w:b/>
        </w:rPr>
      </w:pPr>
      <w:r w:rsidRPr="00B100D4">
        <w:rPr>
          <w:b/>
        </w:rPr>
        <w:t>Výlety do Ostrova</w:t>
      </w:r>
    </w:p>
    <w:p w:rsidR="00250266" w:rsidRDefault="00250266" w:rsidP="00250266">
      <w:r>
        <w:t>Produkt IC Domu kultury</w:t>
      </w:r>
      <w:r>
        <w:rPr>
          <w:rStyle w:val="Znakapoznpodarou"/>
        </w:rPr>
        <w:footnoteReference w:id="12"/>
      </w:r>
      <w:r>
        <w:t>, shrnující možnosti blíže poznat město Ostrov a nabízející podporu návštěvníkům při jeho poznávání.</w:t>
      </w:r>
    </w:p>
    <w:p w:rsidR="00250266" w:rsidRDefault="000859EF" w:rsidP="00250266">
      <w:pPr>
        <w:rPr>
          <w:b/>
        </w:rPr>
      </w:pPr>
      <w:r>
        <w:rPr>
          <w:b/>
        </w:rPr>
        <w:t>Českem o 106</w:t>
      </w:r>
    </w:p>
    <w:p w:rsidR="000859EF" w:rsidRDefault="000859EF" w:rsidP="00250266">
      <w:r w:rsidRPr="000859EF">
        <w:t xml:space="preserve">Internetový </w:t>
      </w:r>
      <w:r>
        <w:t>cestovatels</w:t>
      </w:r>
      <w:r w:rsidRPr="000859EF">
        <w:t>ký portál</w:t>
      </w:r>
      <w:r>
        <w:rPr>
          <w:rStyle w:val="Znakapoznpodarou"/>
        </w:rPr>
        <w:footnoteReference w:id="13"/>
      </w:r>
      <w:r>
        <w:t xml:space="preserve"> doprovázený tištěnými papírovými kartami („Navštívenkami o 106“), z nichž ty relevantní pro Ostrovsko jsou distribuovány IC.</w:t>
      </w:r>
    </w:p>
    <w:p w:rsidR="000859EF" w:rsidRPr="000859EF" w:rsidRDefault="000859EF" w:rsidP="00250266">
      <w:r w:rsidRPr="000859EF">
        <w:t xml:space="preserve">Nejedná se však pouze o samotný internetový portál, kde najdete jednotlivé turistické cíle přehledně a bez všudypřítomných reklam, ale hlavním cílem projektu ČESKEM o 106 bylo vytvoření </w:t>
      </w:r>
      <w:r w:rsidRPr="000859EF">
        <w:rPr>
          <w:b/>
          <w:bCs/>
        </w:rPr>
        <w:t>propagačního tandemu</w:t>
      </w:r>
      <w:r w:rsidRPr="000859EF">
        <w:t xml:space="preserve">, sestávajícího ze dvou médií - tištěného a elektronického. Vzájemně se tak doplňují a spolupracují </w:t>
      </w:r>
      <w:r w:rsidRPr="000859EF">
        <w:rPr>
          <w:b/>
          <w:bCs/>
          <w:i/>
          <w:iCs/>
        </w:rPr>
        <w:t>internetový portál ČESKEM o 106</w:t>
      </w:r>
      <w:r w:rsidRPr="000859EF">
        <w:t xml:space="preserve"> a ve formě tištěných papírových karet </w:t>
      </w:r>
      <w:r w:rsidRPr="000859EF">
        <w:rPr>
          <w:b/>
          <w:bCs/>
          <w:i/>
          <w:iCs/>
        </w:rPr>
        <w:t>„NAVŠTÍVENKY o 106“</w:t>
      </w:r>
      <w:r w:rsidRPr="000859EF">
        <w:t>.</w:t>
      </w:r>
    </w:p>
    <w:p w:rsidR="00250266" w:rsidRDefault="00250266" w:rsidP="00250266">
      <w:pPr>
        <w:rPr>
          <w:b/>
        </w:rPr>
      </w:pPr>
      <w:r w:rsidRPr="00B100D4">
        <w:rPr>
          <w:b/>
        </w:rPr>
        <w:t>Cykloturistika a turistika na Ostrovsku</w:t>
      </w:r>
    </w:p>
    <w:p w:rsidR="00250266" w:rsidRDefault="00250266" w:rsidP="00250266">
      <w:r w:rsidRPr="00DE1222">
        <w:t>Portál</w:t>
      </w:r>
      <w:r>
        <w:rPr>
          <w:rStyle w:val="Znakapoznpodarou"/>
        </w:rPr>
        <w:footnoteReference w:id="14"/>
      </w:r>
      <w:r w:rsidRPr="00DE1222">
        <w:t xml:space="preserve"> nabízející návštěvníkům Ostrovska neje</w:t>
      </w:r>
      <w:r>
        <w:t>n</w:t>
      </w:r>
      <w:r w:rsidRPr="00DE1222">
        <w:t xml:space="preserve"> zajímavé cykloturistické a turistické trasy, </w:t>
      </w:r>
      <w:r>
        <w:t>náměty na turistické cíle, ale také řadu informačních materiálu o městě a okolí.</w:t>
      </w:r>
      <w:r w:rsidR="009B50BC">
        <w:t xml:space="preserve"> </w:t>
      </w:r>
      <w:r w:rsidRPr="00DE1222">
        <w:t>(Následující dvě kapitoly jsou převzaty z uvedené adresy.)</w:t>
      </w:r>
      <w:r w:rsidRPr="00DE1222">
        <w:tab/>
      </w:r>
    </w:p>
    <w:p w:rsidR="00250266" w:rsidRPr="007247AC" w:rsidRDefault="00250266" w:rsidP="00250266">
      <w:pPr>
        <w:pStyle w:val="Nadpis6"/>
        <w:rPr>
          <w:rFonts w:asciiTheme="majorHAnsi" w:hAnsiTheme="majorHAnsi"/>
        </w:rPr>
      </w:pPr>
      <w:r w:rsidRPr="007247AC">
        <w:rPr>
          <w:rFonts w:asciiTheme="majorHAnsi" w:hAnsiTheme="majorHAnsi"/>
        </w:rPr>
        <w:t>Přírodní potenciál a předpoklady cestovního ruchu</w:t>
      </w:r>
    </w:p>
    <w:p w:rsidR="00250266" w:rsidRDefault="00250266" w:rsidP="00250266">
      <w:pPr>
        <w:rPr>
          <w:b/>
        </w:rPr>
      </w:pPr>
      <w:r w:rsidRPr="00760A74">
        <w:rPr>
          <w:b/>
        </w:rPr>
        <w:t>Zámecký park Ostrov</w:t>
      </w:r>
    </w:p>
    <w:p w:rsidR="00250266" w:rsidRDefault="00250266" w:rsidP="00250266">
      <w:r w:rsidRPr="00760A74">
        <w:t>Zámecká zahrada bývala v minulosti úchvatným prostorem a mimořádným uměleckým dílem.  Osmým divem světa  ji nazval karlovarský lékař Michael Raphael Schmutzer ve svém spisu De Nymphis Carolobadensibus v roce 1663.  V současné době zrekonstruovaná  zahrada s barokním Letohrádkem a  park s řadou vodních prvků a drobných památek dotváří rozsáhlý komplex zámeckých budov, které jsou významnou lokalitou historického jádra.</w:t>
      </w:r>
    </w:p>
    <w:p w:rsidR="00250266" w:rsidRPr="00760A74" w:rsidRDefault="00250266" w:rsidP="00250266">
      <w:pPr>
        <w:rPr>
          <w:b/>
        </w:rPr>
      </w:pPr>
      <w:r w:rsidRPr="00760A74">
        <w:rPr>
          <w:b/>
        </w:rPr>
        <w:t>Obora Hájek</w:t>
      </w:r>
    </w:p>
    <w:p w:rsidR="00250266" w:rsidRDefault="00250266" w:rsidP="00250266">
      <w:r>
        <w:t>Obora Hájek leží mezi obcemi Hájek, Velký Rybník a Sadov. Byla založena v roce 1969. Výměra obory je 418 ha, z toho 287 ha tvoří les, 113 ha připadá na louky, 8 ha vodní plochy (rybníky) a 10 ha ostatní plochy. Obora je rozdělena do tří sekcí - dančí, mufloní a prasata, které jsou vzájemně odděleny dělícím plotem. Obora je vybavena naučnou stezkou  délky 5,2 km se zaměřením na dendrologii. Správcem stezky  jsou LČR,s. p. Lesní správa Horní Blatná. </w:t>
      </w:r>
    </w:p>
    <w:p w:rsidR="00250266" w:rsidRPr="00760A74" w:rsidRDefault="00250266" w:rsidP="00250266">
      <w:pPr>
        <w:rPr>
          <w:b/>
        </w:rPr>
      </w:pPr>
      <w:r>
        <w:rPr>
          <w:b/>
        </w:rPr>
        <w:lastRenderedPageBreak/>
        <w:t>Lesopark Borecké rybníky</w:t>
      </w:r>
    </w:p>
    <w:p w:rsidR="00250266" w:rsidRDefault="00250266" w:rsidP="00250266">
      <w:r>
        <w:t>Krajinu v okolí Ostrova zpestřovaly vodní hladiny odedávna, část rybníků vznikla v 16. století. Chov ryb měl po celá staletí velký význam pro výživu ostrovských obyvatel, proto v dalších obdobích zaznamenalo rybníkářství na velký rozvoj. Velkou změnu však přinesl počátek 19. století, kdy více než polovinu rybníků nechali jejich majitelé vyschnout a přeměněny byly na louky a pastviny.</w:t>
      </w:r>
    </w:p>
    <w:p w:rsidR="00250266" w:rsidRDefault="00250266" w:rsidP="00250266">
      <w:r>
        <w:t>Soustavu Boreckých rybníků, tak jak ji známe dnes, tvoří rybníky  Velký Borek, Horní a Dolní Hlinice, Mulda, Luční, Hluboký, Koňský, Ostrovský Velký a jeden bezejmenný.</w:t>
      </w:r>
    </w:p>
    <w:p w:rsidR="00250266" w:rsidRDefault="00250266" w:rsidP="00250266">
      <w:r>
        <w:t>Lokalita má rozlohu 4,2 ha a je významnou přírodní oblastí s řadou chráněných rostlin a živočichů. Borecké rybníky jsou přirozeným sídlem mokřadních společenstev. Hnízdí tu mnoho druhů ptactva a vyskytují se tu i vzácní obojživelníci jako např. čolek velký. S historií, současností, ale i přírodním bohatstvím seznamuje naučná stezka Borecké rybníky.Mezi rybníky je vybudována síť cestiček. Najdete tu také několik, odpočívadel, ohniště nebo vyhlídková mola.</w:t>
      </w:r>
    </w:p>
    <w:p w:rsidR="00250266" w:rsidRPr="00760A74" w:rsidRDefault="00250266" w:rsidP="00250266">
      <w:pPr>
        <w:rPr>
          <w:b/>
        </w:rPr>
      </w:pPr>
      <w:r w:rsidRPr="00760A74">
        <w:rPr>
          <w:b/>
        </w:rPr>
        <w:t>Velký rybník</w:t>
      </w:r>
    </w:p>
    <w:p w:rsidR="00250266" w:rsidRPr="00760A74" w:rsidRDefault="00250266" w:rsidP="00250266">
      <w:r>
        <w:t>Velký rybník je chatová osada nedaleko Hroznětína. Jedná se o oblíbenou výletní lokalitu s přírodním koupalištěm a také jednu z vyhledávaných rybářských lokalit. Okolím velkého rybníka, přezdívaného také "Velas", vede řada turistických stezek. K dispozici je tu kemp a několik restaurací.</w:t>
      </w:r>
    </w:p>
    <w:p w:rsidR="00250266" w:rsidRPr="00760A74" w:rsidRDefault="00250266" w:rsidP="00250266">
      <w:pPr>
        <w:rPr>
          <w:b/>
        </w:rPr>
      </w:pPr>
      <w:r w:rsidRPr="00760A74">
        <w:rPr>
          <w:b/>
        </w:rPr>
        <w:t>Ostrovské rybníky</w:t>
      </w:r>
    </w:p>
    <w:p w:rsidR="00250266" w:rsidRDefault="00250266" w:rsidP="00250266">
      <w:pPr>
        <w:pStyle w:val="Bezmezer"/>
        <w:tabs>
          <w:tab w:val="left" w:pos="709"/>
          <w:tab w:val="left" w:pos="9072"/>
        </w:tabs>
        <w:spacing w:after="120" w:line="276" w:lineRule="auto"/>
      </w:pPr>
      <w:r>
        <w:t>Západně od Ostrova  se nachází soustava čtyř velkých a několika malých rybníků, které jsou od roku 1998 vyhlášeny přírodní rezervací. Rybníky jsou navzájem propojeny četnými kanály. Vodní prostředí je vhodným místem pro hnízdění ptactva a na podzim a na jaře se zde zastavují tažní ptáci. Rybníkářství je v okolí Ostrova rozšířeno již od 15. století. </w:t>
      </w:r>
    </w:p>
    <w:p w:rsidR="00250266" w:rsidRPr="00760A74" w:rsidRDefault="00250266" w:rsidP="00250266">
      <w:pPr>
        <w:pStyle w:val="Bezmezer"/>
        <w:tabs>
          <w:tab w:val="left" w:pos="709"/>
          <w:tab w:val="left" w:pos="9072"/>
        </w:tabs>
        <w:spacing w:after="120" w:line="276" w:lineRule="auto"/>
        <w:rPr>
          <w:b/>
        </w:rPr>
      </w:pPr>
      <w:r w:rsidRPr="00760A74">
        <w:rPr>
          <w:b/>
        </w:rPr>
        <w:t>Popovské stromy</w:t>
      </w:r>
    </w:p>
    <w:p w:rsidR="00250266" w:rsidRDefault="00250266" w:rsidP="00250266">
      <w:pPr>
        <w:pStyle w:val="Bezmezer"/>
        <w:tabs>
          <w:tab w:val="left" w:pos="709"/>
          <w:tab w:val="left" w:pos="9072"/>
        </w:tabs>
        <w:spacing w:after="120" w:line="276" w:lineRule="auto"/>
      </w:pPr>
      <w:r>
        <w:t>Vesnička Popov stála nad Jáchymovem od 13. stol. do 50. let století minulého. Pak musela násilně ustoupit těžbě uranu. Jen podle vegetace, turistického rozcestníku a nepatrných stavebních pozůstatků usuzujeme na přítomnost bývalých stavení. Jedinými pamětníky osady, která po věky zásobovala Jáchymov mlékem, jsou tak staré stromy. Dvě ze tří popovských lip jsou největší nejvýše položené lípy v českých zemích, jejich stáří se odhaduje na 700 let. Horní popovská lípa (lípa srdčitá) má obvod kmene 905 cm a výšku 25 m. Dolní popovská lípa (lípa obecná) má obvod 1004 cm. Strom je rozdělen na dvě poloviny, dnes jsou to již dva samostatné stromy. Dalším významným stromem, kterým se může zaniklý Popov pyšnit, je unikátní jasan ztepilý. Strom dorůstá do výšky 30 m, obvod kmene má 663 cm a patří k největším svého druhu v naší vlasti.</w:t>
      </w:r>
    </w:p>
    <w:p w:rsidR="00250266" w:rsidRPr="00760A74" w:rsidRDefault="00250266" w:rsidP="00250266">
      <w:pPr>
        <w:pStyle w:val="Bezmezer"/>
        <w:tabs>
          <w:tab w:val="left" w:pos="709"/>
          <w:tab w:val="left" w:pos="9072"/>
        </w:tabs>
        <w:spacing w:after="120" w:line="276" w:lineRule="auto"/>
        <w:rPr>
          <w:b/>
        </w:rPr>
      </w:pPr>
      <w:r w:rsidRPr="00760A74">
        <w:rPr>
          <w:b/>
        </w:rPr>
        <w:t>Popovský kříž</w:t>
      </w:r>
    </w:p>
    <w:p w:rsidR="00250266" w:rsidRDefault="00250266" w:rsidP="00250266">
      <w:pPr>
        <w:pStyle w:val="Bezmezer"/>
        <w:tabs>
          <w:tab w:val="left" w:pos="709"/>
          <w:tab w:val="left" w:pos="9072"/>
        </w:tabs>
        <w:spacing w:after="120" w:line="276" w:lineRule="auto"/>
      </w:pPr>
      <w:r>
        <w:t xml:space="preserve">Na Popovském Špičáku (752 m.n.m), u vysokého kříže, je malé vyhlídkové místo s dalekým rozhledem do Ostrovského údolí, na Doupovské hory a Karlovy Vary. K Popovskému kříži se stoupá </w:t>
      </w:r>
      <w:r>
        <w:lastRenderedPageBreak/>
        <w:t>z malého sedla, kde až do poloviny minulého století stávala obec Popov. Nejnápadněji ji připomíná několik mohutných starých stromů, které přežily všechny absurdity naší historie. </w:t>
      </w:r>
    </w:p>
    <w:p w:rsidR="00250266" w:rsidRPr="00760A74" w:rsidRDefault="00250266" w:rsidP="00250266">
      <w:pPr>
        <w:pStyle w:val="Bezmezer"/>
        <w:tabs>
          <w:tab w:val="left" w:pos="709"/>
          <w:tab w:val="left" w:pos="9072"/>
        </w:tabs>
        <w:spacing w:after="120" w:line="276" w:lineRule="auto"/>
        <w:rPr>
          <w:b/>
        </w:rPr>
      </w:pPr>
      <w:r w:rsidRPr="00760A74">
        <w:rPr>
          <w:b/>
        </w:rPr>
        <w:t>Jezero</w:t>
      </w:r>
    </w:p>
    <w:p w:rsidR="00250266" w:rsidRDefault="00250266" w:rsidP="00250266">
      <w:pPr>
        <w:pStyle w:val="Bezmezer"/>
        <w:tabs>
          <w:tab w:val="left" w:pos="709"/>
          <w:tab w:val="left" w:pos="9072"/>
        </w:tabs>
        <w:spacing w:after="120" w:line="276" w:lineRule="auto"/>
      </w:pPr>
      <w:r>
        <w:t>Jezero, někdy zvané i Odeřské jezero nebo Modré je, i přes název  a první dojem nádrž umělá, která byla zřízena, aby zavlažovala rozsáhlé prameniště vodovodu pro Karlovy Vary. Proto je tu zákaz koupání i dalších rekreačních aktivit. </w:t>
      </w:r>
    </w:p>
    <w:p w:rsidR="00250266" w:rsidRPr="007247AC" w:rsidRDefault="00250266" w:rsidP="00250266">
      <w:pPr>
        <w:pStyle w:val="Nadpis6"/>
        <w:rPr>
          <w:rFonts w:asciiTheme="majorHAnsi" w:hAnsiTheme="majorHAnsi"/>
        </w:rPr>
      </w:pPr>
      <w:r>
        <w:rPr>
          <w:rFonts w:asciiTheme="majorHAnsi" w:hAnsiTheme="majorHAnsi"/>
        </w:rPr>
        <w:t>Kultur</w:t>
      </w:r>
      <w:r w:rsidRPr="007247AC">
        <w:rPr>
          <w:rFonts w:asciiTheme="majorHAnsi" w:hAnsiTheme="majorHAnsi"/>
        </w:rPr>
        <w:t>ní potenciál a předpoklady cestovního ruchu</w:t>
      </w:r>
    </w:p>
    <w:p w:rsidR="00250266" w:rsidRDefault="00250266" w:rsidP="00250266">
      <w:pPr>
        <w:pStyle w:val="Bezmezer"/>
        <w:tabs>
          <w:tab w:val="left" w:pos="709"/>
          <w:tab w:val="left" w:pos="9072"/>
        </w:tabs>
        <w:spacing w:after="120" w:line="276" w:lineRule="auto"/>
      </w:pPr>
    </w:p>
    <w:p w:rsidR="00250266" w:rsidRPr="009B1B5C" w:rsidRDefault="00250266" w:rsidP="00250266">
      <w:pPr>
        <w:pStyle w:val="Bezmezer"/>
        <w:tabs>
          <w:tab w:val="left" w:pos="709"/>
          <w:tab w:val="left" w:pos="9072"/>
        </w:tabs>
        <w:spacing w:after="120" w:line="276" w:lineRule="auto"/>
        <w:rPr>
          <w:b/>
        </w:rPr>
      </w:pPr>
      <w:r w:rsidRPr="009B1B5C">
        <w:rPr>
          <w:b/>
        </w:rPr>
        <w:t>Klášterní areál – Posvátný okrsek</w:t>
      </w:r>
    </w:p>
    <w:p w:rsidR="00250266" w:rsidRDefault="00250266" w:rsidP="00250266">
      <w:pPr>
        <w:pStyle w:val="Bezmezer"/>
        <w:tabs>
          <w:tab w:val="left" w:pos="709"/>
          <w:tab w:val="left" w:pos="9072"/>
        </w:tabs>
        <w:spacing w:after="120" w:line="276" w:lineRule="auto"/>
      </w:pPr>
      <w:r>
        <w:t>Milovníkům historie a barokní architektury by neměla ujít návštěva ostrovského klášterního areálu, tzv. Posvátného okrsku. Ten se nachází na západním okraji historického jádra Ostrova v sousedství slavného zámeckého parku (nazývaného kdysi osmým divem světa).</w:t>
      </w:r>
    </w:p>
    <w:p w:rsidR="00250266" w:rsidRPr="009B1B5C" w:rsidRDefault="00250266" w:rsidP="00250266">
      <w:pPr>
        <w:pStyle w:val="Bezmezer"/>
        <w:tabs>
          <w:tab w:val="left" w:pos="709"/>
          <w:tab w:val="left" w:pos="9072"/>
        </w:tabs>
        <w:spacing w:after="120" w:line="276" w:lineRule="auto"/>
        <w:rPr>
          <w:b/>
        </w:rPr>
      </w:pPr>
      <w:r w:rsidRPr="009B1B5C">
        <w:rPr>
          <w:b/>
        </w:rPr>
        <w:t>Kostel Zvěstování Panny Marie</w:t>
      </w:r>
    </w:p>
    <w:p w:rsidR="00250266" w:rsidRDefault="00250266" w:rsidP="00250266">
      <w:pPr>
        <w:pStyle w:val="Bezmezer"/>
        <w:tabs>
          <w:tab w:val="left" w:pos="709"/>
          <w:tab w:val="left" w:pos="9072"/>
        </w:tabs>
        <w:spacing w:after="120" w:line="276" w:lineRule="auto"/>
      </w:pPr>
      <w:r>
        <w:t>Nedílnou součástí klášterního komplexu je kostel, který založila vévodkyně Anna Magdaléna Sasko-Lauenburská roku 1666. Raně barokní stavba, jejímž stavitelem byl Martin Reiner, se dočkala vysvěcení roku 1674.</w:t>
      </w:r>
    </w:p>
    <w:p w:rsidR="00250266" w:rsidRPr="009B1B5C" w:rsidRDefault="00250266" w:rsidP="00250266">
      <w:pPr>
        <w:pStyle w:val="Bezmezer"/>
        <w:tabs>
          <w:tab w:val="left" w:pos="709"/>
          <w:tab w:val="left" w:pos="9072"/>
        </w:tabs>
        <w:spacing w:after="120" w:line="276" w:lineRule="auto"/>
        <w:rPr>
          <w:b/>
        </w:rPr>
      </w:pPr>
      <w:r w:rsidRPr="009B1B5C">
        <w:rPr>
          <w:b/>
        </w:rPr>
        <w:t>Zámek Ostrov</w:t>
      </w:r>
    </w:p>
    <w:p w:rsidR="00250266" w:rsidRDefault="00250266" w:rsidP="00250266">
      <w:pPr>
        <w:pStyle w:val="Bezmezer"/>
        <w:tabs>
          <w:tab w:val="left" w:pos="709"/>
          <w:tab w:val="left" w:pos="9072"/>
        </w:tabs>
        <w:spacing w:after="120" w:line="276" w:lineRule="auto"/>
      </w:pPr>
      <w:r>
        <w:t>Ostrovský zámecký areál se skládá z několika budov - Šlikovský zámek, Lauenburský zámek, Palác princů (též Bílý dvůr) a letohrádek, které jsou situovány v parku, který v 17. století patřil k nejproslulejším architektonickým parkům v zemi.</w:t>
      </w:r>
    </w:p>
    <w:p w:rsidR="00250266" w:rsidRPr="009B1B5C" w:rsidRDefault="00250266" w:rsidP="00250266">
      <w:pPr>
        <w:pStyle w:val="Bezmezer"/>
        <w:tabs>
          <w:tab w:val="left" w:pos="709"/>
          <w:tab w:val="left" w:pos="9072"/>
        </w:tabs>
        <w:spacing w:after="120" w:line="276" w:lineRule="auto"/>
        <w:rPr>
          <w:b/>
        </w:rPr>
      </w:pPr>
      <w:r w:rsidRPr="009B1B5C">
        <w:rPr>
          <w:b/>
        </w:rPr>
        <w:t>Palác princů, Ostrov</w:t>
      </w:r>
    </w:p>
    <w:p w:rsidR="00250266" w:rsidRDefault="00250266" w:rsidP="00250266">
      <w:pPr>
        <w:pStyle w:val="Bezmezer"/>
        <w:tabs>
          <w:tab w:val="left" w:pos="709"/>
          <w:tab w:val="left" w:pos="9072"/>
        </w:tabs>
        <w:spacing w:after="120" w:line="276" w:lineRule="auto"/>
      </w:pPr>
      <w:r>
        <w:t>Jako v zahradě francouzského krále Ludvíka XIV. si museli připadat návštěvníci ostrovského panství koncem 17. století. V honosné rozsáhlé zahradě plné fontán, soch a romantických staveb stál překrásný palác s výraznou červenou fasádou. Zdobilo jej monumentální dvouramenné schodiště, zahradní bazén, a také vnitřní prostory byly skvostné. Byla to doba plná šlechtického luxusu. Ostrov byl tehdy rezidenčním městem císařského vojevůdce a vítěze nad Turky, markraběte Ludwiga Wilhelma Bádenského. Palác princů je jednou z dominant historického jádra města Ostrova. Majitel Ostrova - Ludvík Vilém markrabě bádenský – získal Palác princů roku 1960 sňatkem s poslední princeznou sasko-lauenburskou Franziskou Sibylou Augustou. Stavba Paláce princů započala 1693 na místě dřívějšího hospodářského dvorce – Bílý dvůr, stavitelem byl Johann Michael Sockhem. Původní palácová budova sestávala ze tří křídel a byla spojena s budovou zámku. Do jejího uzavřeného nádvoří se vstupovalo Bílou branou s aliančním znakem vévodů sasko-lauenburských a markrabat bádenských.</w:t>
      </w:r>
    </w:p>
    <w:p w:rsidR="00250266" w:rsidRPr="009B1B5C" w:rsidRDefault="00250266" w:rsidP="00250266">
      <w:pPr>
        <w:pStyle w:val="Bezmezer"/>
        <w:tabs>
          <w:tab w:val="left" w:pos="709"/>
          <w:tab w:val="left" w:pos="9072"/>
        </w:tabs>
        <w:spacing w:after="120" w:line="276" w:lineRule="auto"/>
        <w:rPr>
          <w:b/>
        </w:rPr>
      </w:pPr>
      <w:r w:rsidRPr="009B1B5C">
        <w:rPr>
          <w:b/>
        </w:rPr>
        <w:t>Stará radnice</w:t>
      </w:r>
    </w:p>
    <w:p w:rsidR="00250266" w:rsidRDefault="00250266" w:rsidP="00250266">
      <w:pPr>
        <w:pStyle w:val="Bezmezer"/>
        <w:tabs>
          <w:tab w:val="left" w:pos="709"/>
          <w:tab w:val="left" w:pos="9072"/>
        </w:tabs>
        <w:spacing w:after="120" w:line="276" w:lineRule="auto"/>
      </w:pPr>
      <w:r>
        <w:t xml:space="preserve">Goticko renesanční budovu Staré radnice najdete uprostřed historického centra města, na ostrovském Staroměstském náměstí. Původně středověká stavba radnice několikrát vyhořela, a tak </w:t>
      </w:r>
      <w:r>
        <w:lastRenderedPageBreak/>
        <w:t>dnešní podobu ovlivnily její přestavby v letech 1569, 1795 a 1866. Původní gotickou stavbu dokládají mohutná obvodová zdiva s podloubími. Středověkem dýchají také sklepy, jejichž původ sahá až do 14. století. Do renesanční podoby byla Stará radnice přestavěna po požáru v 16. století. Dodatečně byla přistavěna hranolová věž s hodinami, znakem města a třemi reliéfy, znázorňujícími Šalamounův soud, Spravedlnost a Zuzanu v lázni. Zhruba za tři století nato dostal dům po dalším požáru novogotickou podobu.</w:t>
      </w:r>
    </w:p>
    <w:p w:rsidR="00250266" w:rsidRPr="009B1B5C" w:rsidRDefault="00250266" w:rsidP="00250266">
      <w:pPr>
        <w:pStyle w:val="Bezmezer"/>
        <w:tabs>
          <w:tab w:val="left" w:pos="709"/>
          <w:tab w:val="left" w:pos="9072"/>
        </w:tabs>
        <w:spacing w:after="120" w:line="276" w:lineRule="auto"/>
        <w:rPr>
          <w:b/>
        </w:rPr>
      </w:pPr>
      <w:r w:rsidRPr="009B1B5C">
        <w:rPr>
          <w:b/>
        </w:rPr>
        <w:t>Kostel Sv. Jakuba Většího</w:t>
      </w:r>
    </w:p>
    <w:p w:rsidR="00250266" w:rsidRDefault="00250266" w:rsidP="00250266">
      <w:pPr>
        <w:pStyle w:val="Bezmezer"/>
        <w:tabs>
          <w:tab w:val="left" w:pos="709"/>
          <w:tab w:val="left" w:pos="9072"/>
        </w:tabs>
        <w:spacing w:after="120" w:line="276" w:lineRule="auto"/>
      </w:pPr>
      <w:r>
        <w:t>Nejstarší dochovanou památkou na území Ostrova je kostel Sv. Jakuba Většího. Vznik kostela se tradičně uvádí vysvěcením v roce 1226. Tento údaj není patřičně doložený, ale je velmi pravděpodobný vzhledem slohovému charakteru vstupního portálu. Jde o drobný venkovský kostelík s pravoúhlou obdélnou lodí a téměř čtvercovým presbytářem, sklenutým ve 3. čtvrtině 13. století. Některé náznaky v podkroví a štítu lodi ukazují na to, že původně byla patrně plánovaná chórová věž nad presbytářem. V severním průčelí se vstupuje do kostelíka románským ústupkovým portálem z let 1220-1230. Kostel, původně farní, je od 16. století uváděn jako hřbitovní. Roku 1588 byl hřbitov rozšířen. Počátkem 17. století je kostel zmiňovaný jako zpustlý. Roku 1606 byl proto celkově zrekonstruován; při této opravě byla zvětšena okna a kostel byl tehdy také nově zastřešen. Později kostel znovu zchátral, a počátkem 20. století byl dokonce určen k demolici. K té však naštěstí nedošlo a roku 1912 byl kostel celkově zrekonstruován.</w:t>
      </w:r>
    </w:p>
    <w:p w:rsidR="00250266" w:rsidRPr="009B1B5C" w:rsidRDefault="00250266" w:rsidP="00250266">
      <w:pPr>
        <w:pStyle w:val="Bezmezer"/>
        <w:tabs>
          <w:tab w:val="left" w:pos="709"/>
          <w:tab w:val="left" w:pos="9072"/>
        </w:tabs>
        <w:spacing w:after="120" w:line="276" w:lineRule="auto"/>
        <w:rPr>
          <w:b/>
        </w:rPr>
      </w:pPr>
      <w:r w:rsidRPr="009B1B5C">
        <w:rPr>
          <w:b/>
        </w:rPr>
        <w:t>Kostel sv. Michaela Archanděla</w:t>
      </w:r>
    </w:p>
    <w:p w:rsidR="00250266" w:rsidRDefault="00250266" w:rsidP="00250266">
      <w:pPr>
        <w:pStyle w:val="Bezmezer"/>
        <w:tabs>
          <w:tab w:val="left" w:pos="709"/>
          <w:tab w:val="left" w:pos="9072"/>
        </w:tabs>
        <w:spacing w:after="120" w:line="276" w:lineRule="auto"/>
      </w:pPr>
      <w:r>
        <w:t>Kostel sv. Michaela byl v Ostrově postaven ve 13. století a původně byl zasvěcený sv. Mikuláši. Z původní stavby se zachovaly tympanon vstupního portálu se slepými kružbami a křížová klenba sakristie. Zbytek kostela pochází z přestaveb, které proběhly v 16. a 17. století. Současná podoba kostela je vzorovým příkladem sakrální architektury saského typu.</w:t>
      </w:r>
    </w:p>
    <w:p w:rsidR="000931D6" w:rsidRDefault="000931D6"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p w:rsidR="009B50BC" w:rsidRDefault="009B50BC" w:rsidP="00DF237F">
      <w:pPr>
        <w:spacing w:before="0"/>
        <w:jc w:val="center"/>
        <w:rPr>
          <w:rFonts w:ascii="Times New Roman" w:hAnsi="Times New Roman"/>
        </w:rPr>
      </w:pPr>
    </w:p>
    <w:tbl>
      <w:tblPr>
        <w:tblW w:w="0" w:type="auto"/>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ook w:val="04A0" w:firstRow="1" w:lastRow="0" w:firstColumn="1" w:lastColumn="0" w:noHBand="0" w:noVBand="1"/>
      </w:tblPr>
      <w:tblGrid>
        <w:gridCol w:w="675"/>
        <w:gridCol w:w="4051"/>
        <w:gridCol w:w="627"/>
        <w:gridCol w:w="4099"/>
      </w:tblGrid>
      <w:tr w:rsidR="0094602B" w:rsidRPr="00253E29" w:rsidTr="00155DC6">
        <w:tc>
          <w:tcPr>
            <w:tcW w:w="9452" w:type="dxa"/>
            <w:gridSpan w:val="4"/>
            <w:tcBorders>
              <w:top w:val="single" w:sz="12" w:space="0" w:color="372C74"/>
              <w:left w:val="single" w:sz="12" w:space="0" w:color="372C74"/>
              <w:bottom w:val="single" w:sz="4" w:space="0" w:color="auto"/>
              <w:right w:val="single" w:sz="12" w:space="0" w:color="372C74"/>
              <w:tl2br w:val="nil"/>
              <w:tr2bl w:val="nil"/>
            </w:tcBorders>
            <w:shd w:val="clear" w:color="auto" w:fill="372C74"/>
            <w:vAlign w:val="center"/>
          </w:tcPr>
          <w:p w:rsidR="0094602B" w:rsidRPr="00053817" w:rsidRDefault="0094602B" w:rsidP="00155DC6">
            <w:pPr>
              <w:autoSpaceDE w:val="0"/>
              <w:autoSpaceDN w:val="0"/>
              <w:adjustRightInd w:val="0"/>
              <w:spacing w:before="0" w:after="0" w:line="240" w:lineRule="auto"/>
              <w:rPr>
                <w:b/>
                <w:lang w:bidi="ar-SA"/>
              </w:rPr>
            </w:pPr>
            <w:r w:rsidRPr="00053817">
              <w:rPr>
                <w:b/>
                <w:lang w:bidi="ar-SA"/>
              </w:rPr>
              <w:lastRenderedPageBreak/>
              <w:t>Shrnutí hlavních pozitivních a negativních charakteristik a očekávaných trendů v oblasti</w:t>
            </w:r>
          </w:p>
          <w:p w:rsidR="0094602B" w:rsidRPr="00053817" w:rsidRDefault="0094602B" w:rsidP="00155DC6">
            <w:pPr>
              <w:autoSpaceDE w:val="0"/>
              <w:autoSpaceDN w:val="0"/>
              <w:adjustRightInd w:val="0"/>
              <w:spacing w:before="0" w:after="0" w:line="240" w:lineRule="auto"/>
              <w:jc w:val="center"/>
              <w:rPr>
                <w:rFonts w:cs="Arial-ItalicMT"/>
                <w:b/>
                <w:iCs/>
                <w:szCs w:val="22"/>
              </w:rPr>
            </w:pPr>
            <w:r>
              <w:rPr>
                <w:b/>
                <w:lang w:bidi="ar-SA"/>
              </w:rPr>
              <w:t>Hospodářství</w:t>
            </w:r>
          </w:p>
        </w:tc>
      </w:tr>
      <w:tr w:rsidR="0094602B" w:rsidTr="00155DC6">
        <w:tc>
          <w:tcPr>
            <w:tcW w:w="675" w:type="dxa"/>
            <w:tcBorders>
              <w:top w:val="single" w:sz="4" w:space="0" w:color="auto"/>
              <w:left w:val="single" w:sz="4" w:space="0" w:color="auto"/>
              <w:bottom w:val="single" w:sz="4" w:space="0" w:color="auto"/>
              <w:right w:val="nil"/>
              <w:tl2br w:val="nil"/>
              <w:tr2bl w:val="nil"/>
            </w:tcBorders>
            <w:shd w:val="clear" w:color="auto" w:fill="DDE9EC"/>
            <w:vAlign w:val="center"/>
          </w:tcPr>
          <w:p w:rsidR="0094602B" w:rsidRPr="00053817" w:rsidRDefault="0094602B" w:rsidP="00155DC6">
            <w:pPr>
              <w:autoSpaceDE w:val="0"/>
              <w:autoSpaceDN w:val="0"/>
              <w:adjustRightInd w:val="0"/>
              <w:spacing w:before="60" w:after="60" w:line="240" w:lineRule="auto"/>
              <w:jc w:val="center"/>
              <w:rPr>
                <w:rFonts w:ascii="Arial Black" w:hAnsi="Arial Black" w:cs="Arial-ItalicMT"/>
                <w:b/>
                <w:iCs/>
                <w:color w:val="00B050"/>
                <w:szCs w:val="22"/>
              </w:rPr>
            </w:pPr>
            <w:r w:rsidRPr="00053817">
              <w:rPr>
                <w:rFonts w:ascii="Arial Black" w:hAnsi="Arial Black" w:cs="Arial-ItalicMT"/>
                <w:b/>
                <w:iCs/>
                <w:color w:val="00B050"/>
                <w:sz w:val="40"/>
                <w:szCs w:val="40"/>
              </w:rPr>
              <w:t>+</w:t>
            </w:r>
          </w:p>
        </w:tc>
        <w:tc>
          <w:tcPr>
            <w:tcW w:w="4051" w:type="dxa"/>
            <w:tcBorders>
              <w:top w:val="single" w:sz="4" w:space="0" w:color="auto"/>
              <w:left w:val="nil"/>
              <w:bottom w:val="single" w:sz="4" w:space="0" w:color="auto"/>
              <w:right w:val="single" w:sz="4" w:space="0" w:color="auto"/>
            </w:tcBorders>
            <w:shd w:val="clear" w:color="auto" w:fill="DDE9EC"/>
          </w:tcPr>
          <w:p w:rsidR="009B50BC" w:rsidRDefault="009B50BC" w:rsidP="009B50BC">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Pr>
                <w:rFonts w:cs="Arial-ItalicMT"/>
                <w:iCs/>
                <w:szCs w:val="22"/>
              </w:rPr>
              <w:t>R</w:t>
            </w:r>
            <w:r w:rsidRPr="006D00F7">
              <w:rPr>
                <w:rFonts w:cs="Arial-ItalicMT"/>
                <w:iCs/>
                <w:szCs w:val="22"/>
              </w:rPr>
              <w:t>elativně vyšší podíl znalostně náročných služeb</w:t>
            </w:r>
            <w:r>
              <w:rPr>
                <w:rFonts w:cs="Arial-ItalicMT"/>
                <w:iCs/>
                <w:szCs w:val="22"/>
              </w:rPr>
              <w:t xml:space="preserve"> na podnikatelských aktivitách ve městě.</w:t>
            </w:r>
          </w:p>
          <w:p w:rsidR="009B50BC" w:rsidRDefault="009B50BC" w:rsidP="009B50BC">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Pr>
                <w:rFonts w:cs="Arial-ItalicMT"/>
                <w:iCs/>
                <w:szCs w:val="22"/>
              </w:rPr>
              <w:t>Relativně vyšší podíl služeb cestovního ruchu na podnikatelských aktivitách ve městě.</w:t>
            </w:r>
          </w:p>
          <w:p w:rsidR="009B50BC" w:rsidRPr="009B50BC" w:rsidRDefault="009B50BC" w:rsidP="009B50BC">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D06854">
              <w:rPr>
                <w:rFonts w:asciiTheme="majorHAnsi" w:hAnsiTheme="majorHAnsi" w:cs="Arial-ItalicMT"/>
                <w:iCs/>
                <w:szCs w:val="22"/>
              </w:rPr>
              <w:t xml:space="preserve"> </w:t>
            </w:r>
            <w:r w:rsidRPr="009B50BC">
              <w:rPr>
                <w:rFonts w:asciiTheme="majorHAnsi" w:hAnsiTheme="majorHAnsi" w:cs="Arial-ItalicMT"/>
                <w:iCs/>
                <w:szCs w:val="22"/>
              </w:rPr>
              <w:t>Velký kulturně-historický potenciál města, vhodný pro rozvoj podnikatelských aktivit.</w:t>
            </w:r>
          </w:p>
          <w:p w:rsidR="009B50BC" w:rsidRPr="009B50BC" w:rsidRDefault="009B50BC" w:rsidP="009B50BC">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9B50BC">
              <w:rPr>
                <w:rFonts w:asciiTheme="majorHAnsi" w:hAnsiTheme="majorHAnsi" w:cs="Arial-ItalicMT"/>
                <w:iCs/>
                <w:szCs w:val="22"/>
              </w:rPr>
              <w:t>Relativní bezpečnost ve městě</w:t>
            </w:r>
          </w:p>
          <w:p w:rsidR="009B50BC" w:rsidRPr="003A2601" w:rsidRDefault="009B50BC" w:rsidP="009B50BC">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Pr>
                <w:rFonts w:asciiTheme="majorHAnsi" w:hAnsiTheme="majorHAnsi" w:cs="Arial-ItalicMT"/>
                <w:iCs/>
                <w:szCs w:val="22"/>
              </w:rPr>
              <w:t>Veřejná podpora individuální bytové výstavby</w:t>
            </w:r>
          </w:p>
          <w:p w:rsidR="009B50BC" w:rsidRPr="009B50BC" w:rsidRDefault="009B50BC" w:rsidP="009B50BC">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9B50BC">
              <w:rPr>
                <w:rFonts w:asciiTheme="majorHAnsi" w:hAnsiTheme="majorHAnsi" w:cs="Arial-ItalicMT"/>
                <w:iCs/>
                <w:szCs w:val="22"/>
              </w:rPr>
              <w:t>Odklon tranzitní dopravy z města</w:t>
            </w:r>
          </w:p>
          <w:p w:rsidR="009B50BC" w:rsidRPr="00D06854" w:rsidRDefault="009B50BC" w:rsidP="009B50BC">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Pr>
                <w:rFonts w:asciiTheme="majorHAnsi" w:hAnsiTheme="majorHAnsi" w:cs="Arial-ItalicMT"/>
                <w:iCs/>
                <w:szCs w:val="22"/>
              </w:rPr>
              <w:t>Vyšší podíl znalostní ekonomiky</w:t>
            </w:r>
          </w:p>
          <w:p w:rsidR="003A2601" w:rsidRPr="00053817" w:rsidRDefault="009B50BC" w:rsidP="009B50BC">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9B50BC">
              <w:rPr>
                <w:rFonts w:asciiTheme="majorHAnsi" w:hAnsiTheme="majorHAnsi" w:cs="Arial-ItalicMT"/>
                <w:iCs/>
                <w:szCs w:val="22"/>
              </w:rPr>
              <w:t>Zasídlení jednoho z největších zaměstnavatelů v kraji</w:t>
            </w:r>
          </w:p>
        </w:tc>
        <w:tc>
          <w:tcPr>
            <w:tcW w:w="627" w:type="dxa"/>
            <w:tcBorders>
              <w:top w:val="single" w:sz="4" w:space="0" w:color="auto"/>
              <w:left w:val="single" w:sz="4" w:space="0" w:color="auto"/>
              <w:bottom w:val="single" w:sz="4" w:space="0" w:color="auto"/>
              <w:right w:val="nil"/>
            </w:tcBorders>
            <w:shd w:val="clear" w:color="auto" w:fill="DDE9EC"/>
            <w:vAlign w:val="center"/>
          </w:tcPr>
          <w:p w:rsidR="0094602B" w:rsidRPr="00053817" w:rsidRDefault="0094602B" w:rsidP="00155DC6">
            <w:pPr>
              <w:autoSpaceDE w:val="0"/>
              <w:autoSpaceDN w:val="0"/>
              <w:adjustRightInd w:val="0"/>
              <w:spacing w:before="60" w:after="60" w:line="240" w:lineRule="auto"/>
              <w:jc w:val="center"/>
              <w:rPr>
                <w:rFonts w:cs="Arial-ItalicMT"/>
                <w:iCs/>
                <w:color w:val="FF0000"/>
                <w:sz w:val="40"/>
                <w:szCs w:val="40"/>
              </w:rPr>
            </w:pPr>
            <w:r w:rsidRPr="00053817">
              <w:rPr>
                <w:rFonts w:ascii="Arial Black" w:hAnsi="Arial Black" w:cs="Arial-ItalicMT"/>
                <w:b/>
                <w:iCs/>
                <w:color w:val="FF0000"/>
                <w:sz w:val="40"/>
                <w:szCs w:val="40"/>
              </w:rPr>
              <w:t>-</w:t>
            </w:r>
          </w:p>
        </w:tc>
        <w:tc>
          <w:tcPr>
            <w:tcW w:w="4099" w:type="dxa"/>
            <w:tcBorders>
              <w:top w:val="single" w:sz="4" w:space="0" w:color="auto"/>
              <w:left w:val="nil"/>
              <w:bottom w:val="single" w:sz="4" w:space="0" w:color="auto"/>
              <w:right w:val="single" w:sz="4" w:space="0" w:color="auto"/>
            </w:tcBorders>
            <w:shd w:val="clear" w:color="auto" w:fill="DDE9EC"/>
          </w:tcPr>
          <w:p w:rsidR="009B50BC" w:rsidRPr="003A2601" w:rsidRDefault="009B50BC" w:rsidP="009B50BC">
            <w:pPr>
              <w:pStyle w:val="Odstavecseseznamem"/>
              <w:numPr>
                <w:ilvl w:val="0"/>
                <w:numId w:val="2"/>
              </w:numPr>
              <w:autoSpaceDE w:val="0"/>
              <w:autoSpaceDN w:val="0"/>
              <w:adjustRightInd w:val="0"/>
              <w:spacing w:before="60" w:after="60" w:line="240" w:lineRule="auto"/>
              <w:ind w:left="470" w:hanging="510"/>
              <w:jc w:val="left"/>
              <w:rPr>
                <w:rFonts w:cs="Arial-ItalicMT"/>
                <w:b/>
                <w:iCs/>
                <w:szCs w:val="22"/>
              </w:rPr>
            </w:pPr>
            <w:r>
              <w:rPr>
                <w:rFonts w:cs="Arial-ItalicMT"/>
                <w:iCs/>
                <w:szCs w:val="22"/>
              </w:rPr>
              <w:t>Klesá počet podnikajících FO</w:t>
            </w:r>
          </w:p>
          <w:p w:rsidR="009B50BC" w:rsidRPr="003A2601" w:rsidRDefault="009B50BC" w:rsidP="009B50BC">
            <w:pPr>
              <w:pStyle w:val="Odstavecseseznamem"/>
              <w:numPr>
                <w:ilvl w:val="0"/>
                <w:numId w:val="2"/>
              </w:numPr>
              <w:autoSpaceDE w:val="0"/>
              <w:autoSpaceDN w:val="0"/>
              <w:adjustRightInd w:val="0"/>
              <w:spacing w:before="60" w:after="60" w:line="240" w:lineRule="auto"/>
              <w:ind w:left="470" w:hanging="510"/>
              <w:jc w:val="left"/>
              <w:rPr>
                <w:rFonts w:cs="Arial-ItalicMT"/>
                <w:b/>
                <w:iCs/>
                <w:szCs w:val="22"/>
              </w:rPr>
            </w:pPr>
            <w:r>
              <w:rPr>
                <w:rFonts w:cs="Arial-ItalicMT"/>
                <w:iCs/>
                <w:szCs w:val="22"/>
              </w:rPr>
              <w:t>Málo využívané nové trendy v cestovním ruchu (geocashing, zážitkové trasy atp.)</w:t>
            </w:r>
          </w:p>
          <w:p w:rsidR="009B50BC" w:rsidRPr="009B50BC" w:rsidRDefault="009B50BC" w:rsidP="009B50BC">
            <w:pPr>
              <w:pStyle w:val="Odstavecseseznamem"/>
              <w:numPr>
                <w:ilvl w:val="0"/>
                <w:numId w:val="2"/>
              </w:numPr>
              <w:autoSpaceDE w:val="0"/>
              <w:autoSpaceDN w:val="0"/>
              <w:adjustRightInd w:val="0"/>
              <w:spacing w:before="60" w:after="60" w:line="240" w:lineRule="auto"/>
              <w:ind w:left="470" w:hanging="510"/>
              <w:jc w:val="left"/>
              <w:rPr>
                <w:rFonts w:cs="Arial-ItalicMT"/>
                <w:iCs/>
                <w:szCs w:val="22"/>
              </w:rPr>
            </w:pPr>
            <w:r w:rsidRPr="009B50BC">
              <w:rPr>
                <w:rFonts w:cs="Arial-ItalicMT"/>
                <w:iCs/>
                <w:szCs w:val="22"/>
              </w:rPr>
              <w:t>Problém s ubytováním zahraničních pracovníků – chybí kapacity, ve stávajících jsou koncentrovány osoby s rizikem problémového chování</w:t>
            </w:r>
          </w:p>
          <w:p w:rsidR="003A2601" w:rsidRPr="00053817" w:rsidRDefault="009B50BC" w:rsidP="009B50BC">
            <w:pPr>
              <w:pStyle w:val="Odstavecseseznamem"/>
              <w:numPr>
                <w:ilvl w:val="0"/>
                <w:numId w:val="2"/>
              </w:numPr>
              <w:autoSpaceDE w:val="0"/>
              <w:autoSpaceDN w:val="0"/>
              <w:adjustRightInd w:val="0"/>
              <w:spacing w:before="60" w:after="60" w:line="240" w:lineRule="auto"/>
              <w:ind w:left="470" w:hanging="510"/>
              <w:jc w:val="left"/>
              <w:rPr>
                <w:rFonts w:cs="Arial-ItalicMT"/>
                <w:b/>
                <w:iCs/>
                <w:szCs w:val="22"/>
              </w:rPr>
            </w:pPr>
            <w:r>
              <w:rPr>
                <w:rFonts w:cs="Arial-ItalicMT"/>
                <w:iCs/>
                <w:szCs w:val="22"/>
              </w:rPr>
              <w:t>Absence větší propagace regionu, kulturních i přírodních památek</w:t>
            </w:r>
          </w:p>
        </w:tc>
      </w:tr>
      <w:tr w:rsidR="00861AFE" w:rsidTr="00861AFE">
        <w:trPr>
          <w:trHeight w:val="1643"/>
        </w:trPr>
        <w:tc>
          <w:tcPr>
            <w:tcW w:w="9452" w:type="dxa"/>
            <w:gridSpan w:val="4"/>
            <w:tcBorders>
              <w:top w:val="nil"/>
              <w:left w:val="single" w:sz="4" w:space="0" w:color="auto"/>
              <w:right w:val="single" w:sz="4" w:space="0" w:color="auto"/>
              <w:tl2br w:val="nil"/>
              <w:tr2bl w:val="nil"/>
            </w:tcBorders>
            <w:shd w:val="clear" w:color="auto" w:fill="DDE9EC"/>
          </w:tcPr>
          <w:p w:rsidR="00861AFE" w:rsidRDefault="00861AFE" w:rsidP="00861AFE">
            <w:pPr>
              <w:autoSpaceDE w:val="0"/>
              <w:autoSpaceDN w:val="0"/>
              <w:adjustRightInd w:val="0"/>
              <w:spacing w:before="60" w:after="60" w:line="240" w:lineRule="auto"/>
              <w:jc w:val="left"/>
              <w:rPr>
                <w:rFonts w:cs="Arial-ItalicMT"/>
                <w:iCs/>
                <w:color w:val="372C74"/>
                <w:szCs w:val="22"/>
              </w:rPr>
            </w:pPr>
            <w:r>
              <w:rPr>
                <w:rFonts w:cs="Arial-ItalicMT"/>
                <w:iCs/>
                <w:color w:val="372C74"/>
                <w:szCs w:val="22"/>
              </w:rPr>
              <w:t>Komentář:</w:t>
            </w:r>
          </w:p>
          <w:p w:rsidR="009B50BC" w:rsidRDefault="009B50BC" w:rsidP="009B50BC">
            <w:pPr>
              <w:autoSpaceDE w:val="0"/>
              <w:autoSpaceDN w:val="0"/>
              <w:adjustRightInd w:val="0"/>
              <w:spacing w:before="60" w:after="60" w:line="240" w:lineRule="auto"/>
              <w:jc w:val="left"/>
              <w:rPr>
                <w:rFonts w:cs="Arial-ItalicMT"/>
                <w:iCs/>
                <w:color w:val="372C74"/>
                <w:szCs w:val="22"/>
              </w:rPr>
            </w:pPr>
            <w:r>
              <w:rPr>
                <w:rFonts w:cs="Arial-ItalicMT"/>
                <w:iCs/>
                <w:color w:val="372C74"/>
                <w:szCs w:val="22"/>
              </w:rPr>
              <w:t>Z hlediska ekonomického rozvoje vznikla nejednoznačná situace.</w:t>
            </w:r>
          </w:p>
          <w:p w:rsidR="009B50BC" w:rsidRDefault="009B50BC" w:rsidP="009B50BC">
            <w:pPr>
              <w:autoSpaceDE w:val="0"/>
              <w:autoSpaceDN w:val="0"/>
              <w:adjustRightInd w:val="0"/>
              <w:spacing w:before="60" w:after="60" w:line="240" w:lineRule="auto"/>
              <w:jc w:val="left"/>
              <w:rPr>
                <w:rFonts w:cs="Arial-ItalicMT"/>
                <w:iCs/>
                <w:color w:val="372C74"/>
                <w:szCs w:val="22"/>
              </w:rPr>
            </w:pPr>
            <w:r>
              <w:rPr>
                <w:rFonts w:cs="Arial-ItalicMT"/>
                <w:iCs/>
                <w:color w:val="372C74"/>
                <w:szCs w:val="22"/>
              </w:rPr>
              <w:t xml:space="preserve">Na jedné straně jsou připraveny zainventované produkční plochy, jejichž využití však nemá město plně ve své kompetenci. </w:t>
            </w:r>
          </w:p>
          <w:p w:rsidR="00861AFE" w:rsidRPr="00053817" w:rsidRDefault="009B50BC" w:rsidP="009B50BC">
            <w:pPr>
              <w:autoSpaceDE w:val="0"/>
              <w:autoSpaceDN w:val="0"/>
              <w:adjustRightInd w:val="0"/>
              <w:spacing w:before="60" w:after="60" w:line="240" w:lineRule="auto"/>
              <w:jc w:val="left"/>
              <w:rPr>
                <w:rFonts w:cs="Arial-ItalicMT"/>
                <w:iCs/>
                <w:color w:val="372C74"/>
                <w:szCs w:val="22"/>
              </w:rPr>
            </w:pPr>
            <w:r>
              <w:rPr>
                <w:rFonts w:cs="Arial-ItalicMT"/>
                <w:iCs/>
                <w:color w:val="372C74"/>
                <w:szCs w:val="22"/>
              </w:rPr>
              <w:t>Pro tyto nové produkční kapacity však není v daném období v regionu dostatek pracovních sil. Na případný nárůst přílivu nových pracovních sil není město připraveno ani v ubytovacích kapacitách, ani v sociálním zázemí.</w:t>
            </w:r>
          </w:p>
        </w:tc>
      </w:tr>
    </w:tbl>
    <w:p w:rsidR="00861AFE" w:rsidRDefault="00861AFE" w:rsidP="00861AFE"/>
    <w:p w:rsidR="00861AFE" w:rsidRDefault="00861AFE" w:rsidP="00861AFE">
      <w:pPr>
        <w:rPr>
          <w:color w:val="1B1639"/>
          <w:spacing w:val="15"/>
          <w:sz w:val="24"/>
          <w:szCs w:val="22"/>
        </w:rPr>
      </w:pPr>
      <w:r>
        <w:br w:type="page"/>
      </w:r>
    </w:p>
    <w:p w:rsidR="00001931" w:rsidRDefault="009F5528" w:rsidP="00001931">
      <w:pPr>
        <w:pStyle w:val="Nadpis3"/>
        <w:spacing w:line="240" w:lineRule="auto"/>
      </w:pPr>
      <w:bookmarkStart w:id="82" w:name="_Toc516058317"/>
      <w:r>
        <w:lastRenderedPageBreak/>
        <w:t>P</w:t>
      </w:r>
      <w:r w:rsidR="00001931">
        <w:t>.1.4</w:t>
      </w:r>
      <w:r w:rsidR="00001931" w:rsidRPr="005F0699">
        <w:t xml:space="preserve"> </w:t>
      </w:r>
      <w:r w:rsidR="00001931">
        <w:t>Infrastruktura</w:t>
      </w:r>
      <w:bookmarkEnd w:id="82"/>
    </w:p>
    <w:p w:rsidR="00001931" w:rsidRDefault="00001931" w:rsidP="00001931"/>
    <w:p w:rsidR="00001931" w:rsidRPr="007B0DDF" w:rsidRDefault="00001931" w:rsidP="00001931">
      <w:pPr>
        <w:pStyle w:val="Nadpis4"/>
        <w:pBdr>
          <w:top w:val="none" w:sz="0" w:space="0" w:color="auto"/>
          <w:left w:val="none" w:sz="0" w:space="0" w:color="auto"/>
        </w:pBdr>
        <w:shd w:val="clear" w:color="auto" w:fill="372C74"/>
        <w:spacing w:before="0" w:after="200"/>
        <w:ind w:firstLine="0"/>
        <w:rPr>
          <w:color w:val="auto"/>
          <w:spacing w:val="4"/>
          <w:szCs w:val="24"/>
        </w:rPr>
      </w:pPr>
      <w:bookmarkStart w:id="83" w:name="_Toc516058318"/>
      <w:r w:rsidRPr="007B0DDF">
        <w:rPr>
          <w:color w:val="auto"/>
          <w:spacing w:val="4"/>
          <w:szCs w:val="24"/>
        </w:rPr>
        <w:t>I. Technická infrastruktura</w:t>
      </w:r>
      <w:bookmarkEnd w:id="83"/>
      <w:r w:rsidRPr="007B0DDF">
        <w:rPr>
          <w:color w:val="auto"/>
          <w:spacing w:val="4"/>
          <w:szCs w:val="24"/>
        </w:rPr>
        <w:t xml:space="preserve"> </w:t>
      </w:r>
    </w:p>
    <w:p w:rsidR="00876757" w:rsidRPr="00876757" w:rsidRDefault="00876757" w:rsidP="00876757">
      <w:pPr>
        <w:pStyle w:val="Nadpis6"/>
        <w:rPr>
          <w:rFonts w:asciiTheme="majorHAnsi" w:hAnsiTheme="majorHAnsi"/>
        </w:rPr>
      </w:pPr>
      <w:r w:rsidRPr="00876757">
        <w:rPr>
          <w:rFonts w:asciiTheme="majorHAnsi" w:hAnsiTheme="majorHAnsi"/>
        </w:rPr>
        <w:t>Zásobování vodou</w:t>
      </w:r>
    </w:p>
    <w:p w:rsidR="006E0246" w:rsidRPr="00E82A1C" w:rsidRDefault="006E0246" w:rsidP="006E0246">
      <w:pPr>
        <w:spacing w:before="120" w:after="120"/>
      </w:pPr>
      <w:r w:rsidRPr="00E82A1C">
        <w:t>Rozvoj vodovodů je řešen v Plánu rozvoje vodovodů a kanalizací Karlovarského kraje.</w:t>
      </w:r>
    </w:p>
    <w:p w:rsidR="006E0246" w:rsidRPr="00E82A1C" w:rsidRDefault="006E0246" w:rsidP="006E0246">
      <w:pPr>
        <w:spacing w:before="120" w:after="120"/>
      </w:pPr>
      <w:r w:rsidRPr="00E82A1C">
        <w:t>Město Ostrov je od r. 2001, kdy byl uveden do provozu vodovodní přivaděč DN500 z vodojemu Nad lomem do vodojemu Radošov č. 1, součástí skupinového vodovodu Karlovy Vary (dále SVKV). Jeho zdrojem je úpravna vody Březová o kapacitě 650l/s, která odebírá surovou vodu z vodárenské nádrže Stanovice na Lomnickém potoce. Doplňkovými zdroji jsou úpravna vody Plavno s přímým odběrem z Plavenského potoka – kapacita 60l/s a prameniště severně od Vykmanova se zanedbatelnou vydatností (kolem 1 l/s). Tyto zdroje jsou hlavními zásobními řady z vodojemů přiváděny do vodovodní sítě Ostrova.</w:t>
      </w:r>
    </w:p>
    <w:p w:rsidR="00062218" w:rsidRDefault="006E0246" w:rsidP="006E0246">
      <w:pPr>
        <w:spacing w:before="120" w:after="120"/>
      </w:pPr>
      <w:r w:rsidRPr="00E82A1C">
        <w:t>Současná vodovodní síť Ostrova včetně kubatur vodojemů a zásobních řadů je dostatečně kapacitní stávající zástavbu i její rozvoj. Požadavky na zesílení částí uličních řadů mohou vzniknout při požadavku větších odběrů na okrajích zásobovaného území, kde jsou také nejmenší dimenze uličních řadů.</w:t>
      </w:r>
      <w:r>
        <w:t xml:space="preserve"> Rekonstrukce rozvodů vodovodů probíhá průběžně.</w:t>
      </w:r>
    </w:p>
    <w:p w:rsidR="00062218" w:rsidRPr="00E82A1C" w:rsidRDefault="00062218" w:rsidP="00062218">
      <w:pPr>
        <w:pStyle w:val="Nadpis6"/>
        <w:rPr>
          <w:color w:val="auto"/>
        </w:rPr>
      </w:pPr>
      <w:r w:rsidRPr="00E82A1C">
        <w:rPr>
          <w:color w:val="auto"/>
        </w:rPr>
        <w:t>Kanalizace</w:t>
      </w:r>
      <w:r>
        <w:rPr>
          <w:color w:val="auto"/>
        </w:rPr>
        <w:t xml:space="preserve"> a</w:t>
      </w:r>
      <w:r w:rsidRPr="00E82A1C">
        <w:rPr>
          <w:color w:val="auto"/>
        </w:rPr>
        <w:t xml:space="preserve"> </w:t>
      </w:r>
      <w:r>
        <w:rPr>
          <w:color w:val="auto"/>
        </w:rPr>
        <w:t>čištění odpadních vod</w:t>
      </w:r>
    </w:p>
    <w:p w:rsidR="006E0246" w:rsidRPr="00E82A1C" w:rsidRDefault="006E0246" w:rsidP="006E0246">
      <w:pPr>
        <w:spacing w:before="120" w:after="120"/>
      </w:pPr>
      <w:r w:rsidRPr="00E82A1C">
        <w:t>Město Ostrov má vybudovanou jednotnou kanalizaci s centrální mechanicko biologickou čistírnou odpadních vod (dále ČOV). ČOV je umístěna na jihovýchodním okraji zástavby mezi tratí ČD, silnicí a říčkou Bystřicí. Byla vybudována v r. 1976 pro 18.000 EO a 5.980 m3/d odpadních vod. V roce 2003 proběhla její rekonstrukce, která zvýšila její čistící kapacitu.</w:t>
      </w:r>
    </w:p>
    <w:p w:rsidR="006E0246" w:rsidRPr="00E82A1C" w:rsidRDefault="006E0246" w:rsidP="006E0246">
      <w:pPr>
        <w:spacing w:before="120" w:after="120"/>
      </w:pPr>
      <w:r w:rsidRPr="00E82A1C">
        <w:t>Vlastní kanalizační síť je v dimenzích 200 – 1.500mm, různého materiálového provedení (kamenina, beton, železobeton). Je rozdělena do dvou hlavních sběračů „A“ a „B“, které se po odlehčení spojují těsně před ČOV. Jejich rozvodí je vyznačeno v přiložené situaci M 1 : 5.000.</w:t>
      </w:r>
    </w:p>
    <w:p w:rsidR="006E0246" w:rsidRPr="00E82A1C" w:rsidRDefault="006E0246" w:rsidP="006E0246">
      <w:pPr>
        <w:spacing w:before="120" w:after="120"/>
      </w:pPr>
      <w:r w:rsidRPr="00E82A1C">
        <w:t>Mimo jednotné stokové sítě se vyskytuje ojediněle kanalizace dešťová, vyústěná do Bystřice nebo jinam.</w:t>
      </w:r>
    </w:p>
    <w:p w:rsidR="006E0246" w:rsidRDefault="006E0246" w:rsidP="006E0246">
      <w:pPr>
        <w:spacing w:before="120" w:after="120"/>
      </w:pPr>
      <w:r w:rsidRPr="00E82A1C">
        <w:t>Kapacita kanalizace i ČOV je dostatečná. Při větší plošné výstavbě při okrajích města bude nutno přistoupit k výstavbě oddílné kanalizace a dešťové vody z těchto ploch odvádět samostatně mimo souvislou kanalizaci.</w:t>
      </w:r>
      <w:r>
        <w:t xml:space="preserve"> </w:t>
      </w:r>
      <w:r w:rsidRPr="00E82A1C">
        <w:t>Rovněž veškeré úseky zejména betonových stok si vyžádají rekonstrukci z</w:t>
      </w:r>
      <w:r>
        <w:t> </w:t>
      </w:r>
      <w:r w:rsidRPr="00E82A1C">
        <w:t>důvodů špatného technického stavu.</w:t>
      </w:r>
    </w:p>
    <w:p w:rsidR="00062218" w:rsidRDefault="006E0246" w:rsidP="006E0246">
      <w:pPr>
        <w:spacing w:before="120" w:after="120"/>
      </w:pPr>
      <w:r>
        <w:t>Na kanalizační síť jsou postupně napojovány další okrajově části Ostrova. V přípravě je napojení místních částí Květnová a Kfely</w:t>
      </w:r>
      <w:r w:rsidR="002B2F82">
        <w:t>.</w:t>
      </w:r>
    </w:p>
    <w:p w:rsidR="002B2F82" w:rsidRDefault="002B2F82" w:rsidP="002B2F82">
      <w:pPr>
        <w:spacing w:before="120" w:after="120"/>
      </w:pPr>
    </w:p>
    <w:p w:rsidR="00062218" w:rsidRPr="00E82A1C" w:rsidRDefault="00062218" w:rsidP="00062218">
      <w:pPr>
        <w:pStyle w:val="Nadpis6"/>
        <w:rPr>
          <w:color w:val="auto"/>
        </w:rPr>
      </w:pPr>
      <w:r>
        <w:rPr>
          <w:color w:val="auto"/>
        </w:rPr>
        <w:lastRenderedPageBreak/>
        <w:t>Odpadové</w:t>
      </w:r>
      <w:r w:rsidRPr="00E82A1C">
        <w:rPr>
          <w:color w:val="auto"/>
        </w:rPr>
        <w:t xml:space="preserve"> hospodářství</w:t>
      </w:r>
    </w:p>
    <w:p w:rsidR="006E0246" w:rsidRPr="00576E18" w:rsidRDefault="006E0246" w:rsidP="006E0246">
      <w:pPr>
        <w:spacing w:before="120" w:after="120"/>
      </w:pPr>
      <w:r w:rsidRPr="00576E18">
        <w:t xml:space="preserve">Město má Plán odpadového hospodářství Města Ostrov schválený v roce 2016. Zde z něho uvádíme hlavní souhrnné informace. </w:t>
      </w:r>
    </w:p>
    <w:p w:rsidR="006E0246" w:rsidRPr="00576E18" w:rsidRDefault="006E0246" w:rsidP="006E0246">
      <w:pPr>
        <w:spacing w:before="120" w:after="120"/>
      </w:pPr>
      <w:r w:rsidRPr="00576E18">
        <w:t>POH obce musí být v souladu se závaznou částí POH Karlovarského kraje. Hlavní cíle POH Karlovarského kraje se soustředí na snížení skládkování a zvýšení využívání odpadů, ale také na předcházení vzniku odpadů. Město průběžně plní cíl připravit k opětovnému využití/recyklaci alespoň 50 % papíru, skla, plastů a kovů z komunálních odpadů (nyní využití na úrovni mírně nad 50 %). Cíl využívat směsné komunální odpady (zejména energeticky) město dosud neplní, odpady jsou skládkovány. Rovněž splnění požadavku na snížení skládkování biologicky rozložitelných komunálních odpadů (BRKO) na obyvatele do roku 2020 zatím není dosaženo (skládkování přibližně 106 kg/osobu). Město má relativně malou a v posledních letech klesající produkci směsných komunálních odpadů, což lze hodnotit jako ukazatel účinného předcházení vzniku odpadů, je zde ovšem prostor pro další zlepšení.</w:t>
      </w:r>
    </w:p>
    <w:p w:rsidR="006E0246" w:rsidRPr="00576E18" w:rsidRDefault="006E0246" w:rsidP="006E0246">
      <w:pPr>
        <w:spacing w:before="120" w:after="120"/>
      </w:pPr>
      <w:r w:rsidRPr="00576E18">
        <w:t>Pro naplnění dlouhodobých cílů legislativy, zejména požadavku na výrazné snížení množství skládkovaných biologicky rozložitelných komunálních odpadů (BRKO) do roku 2020, ukončení skládkování směsných komunálních odpadů od r. 2024 a udržení či zvýšení požadovaného podílu využitých odpadů, bude v příštích letech nutné nadále posilovat systém odděleného sběru bioodpadů, papíru a plastů od prahu domu a uvážit možnosti budoucího využití směsných komunálních odpadů, zejména pro energetické účely. Vedle pokračování již nyní vysoce účinného systému sběru papíru a plastů od prahu domu na celém území města bude třeba zvýšit oddělený sběr textilu a bioodpadů. Dále je nutné do budoucna zajistit využití směsných komunálních a objemných odpadů a zachovat dobrou dostupnost sběrného dvora, doplněného dle potřeby o mobilní sběry odpadů. Všechna opatření bude třeba podporovat soustavnou informační kampaní a ekologickou výchovou a osvětou.(na základě POH)</w:t>
      </w:r>
    </w:p>
    <w:p w:rsidR="006E0246" w:rsidRPr="00576E18" w:rsidRDefault="006E0246" w:rsidP="006E0246">
      <w:pPr>
        <w:spacing w:before="120" w:after="120"/>
      </w:pPr>
    </w:p>
    <w:p w:rsidR="006E0246" w:rsidRPr="00576E18" w:rsidRDefault="006E0246" w:rsidP="006E0246">
      <w:pPr>
        <w:spacing w:before="120" w:after="120"/>
      </w:pPr>
      <w:r w:rsidRPr="00576E18">
        <w:t xml:space="preserve">Město Ostrov je součástí Komunální odpadové společnosti, a.s., kde zakladateli jsou Karlovarský kraj, Město Karlovy Vary, Město Ostrov, Město Sokolov, Město Nová Role, Město Chodov a Město Skalná. </w:t>
      </w:r>
    </w:p>
    <w:p w:rsidR="006E0246" w:rsidRPr="00576E18" w:rsidRDefault="006E0246" w:rsidP="006E0246">
      <w:pPr>
        <w:spacing w:before="120" w:after="120"/>
      </w:pPr>
      <w:r w:rsidRPr="00576E18">
        <w:t>Tuhý komunální odpad je z území města svážen centrálně na řízenou skládku Tušimice a Činov. V Nádražní ulici funguje sběrný dvůr tuhého komunálního odpadu, kam mohou obyvatelé celého správního území města Ostrov bezplatně odpad odvézt. Tento sběrný dvůr slouží především ke zneškodnění nebezpečné složky komunálního odpadu, případně k separaci využitelné složky komunálního odpadu. 1x ročně v době jarních úklidů jsou na dobu několika dnů do osad a okrajových částí města umístěny velkoobjemové kontejnery pro odložení odpadů. Škoda Ostrov dále provozuje povrchovou skládku odpadu skupiny S III ve Vykmanově.</w:t>
      </w:r>
    </w:p>
    <w:p w:rsidR="006E0246" w:rsidRPr="00576E18" w:rsidRDefault="006E0246" w:rsidP="006E0246">
      <w:pPr>
        <w:spacing w:before="120" w:after="120"/>
      </w:pPr>
      <w:r w:rsidRPr="00576E18">
        <w:t>Na území města Ostrova a přilehlých částí jsou stanoviště pro sběr tříděného odpadu (sklo, plasty, papír) rovnoměrně rozmístěna. V každé osadě jsou minimálně na jednom stanovišti umístěny nádoby pro sběr tříděného odpadu – sklo, plasty a papír.</w:t>
      </w:r>
    </w:p>
    <w:p w:rsidR="006E0246" w:rsidRPr="00576E18" w:rsidRDefault="006E0246" w:rsidP="006E0246">
      <w:pPr>
        <w:spacing w:before="120" w:after="120"/>
      </w:pPr>
      <w:r w:rsidRPr="00576E18">
        <w:lastRenderedPageBreak/>
        <w:t xml:space="preserve">Společnost Marius Pedersen a.s. zajišťuje pro město svoz směsného komunálního </w:t>
      </w:r>
      <w:r>
        <w:t>odpadu a provoz sběrného dvora.</w:t>
      </w:r>
      <w:r w:rsidRPr="00576E18">
        <w:t xml:space="preserve"> Dále zajišťuje mobilní svoz objemného a stavebního odpadu, případně přistavení kontejnerů pro odpady ze zeleně. RESUR spol. s r.o. zajišťuje pro město svoz separovaného komunálního odpadu — papíru, skla, kovů, plastů a spolu kompozitních obalů — včetně pronájmu kontejnerů. Koutecký s. r. o. zajišťuje sběr textilií. Auto Služby Ostrov s.r.o. zajišťují výkup papíru a kovů, zneškodňování autovraků, PH KOVO-RECYCLING CHEB s.r.o. řeší výkup kovů a papíru. V minulých letech byly do některých domácností distribuovány domácí kompostéry. </w:t>
      </w:r>
    </w:p>
    <w:p w:rsidR="006E0246" w:rsidRPr="00576E18" w:rsidRDefault="006E0246" w:rsidP="006E0246">
      <w:pPr>
        <w:spacing w:before="120" w:after="120"/>
      </w:pPr>
      <w:r w:rsidRPr="00576E18">
        <w:t xml:space="preserve">Bioodpad z veřejné zeleně se v současnosti vyváží na kompostárnu do Odeře (Hroznětín). Město dlouhodobě zvažuje výstavbu výstavbu vlastní kompostárny. </w:t>
      </w:r>
    </w:p>
    <w:p w:rsidR="00FC30B4" w:rsidRPr="00E4381D" w:rsidRDefault="006E0246" w:rsidP="006E0246">
      <w:pPr>
        <w:spacing w:before="120" w:after="120"/>
      </w:pPr>
      <w:r w:rsidRPr="00576E18">
        <w:t>Energetické využití odpadů je mimo přímou kompetenci města – tato otázka je řešena na úrovni kraje</w:t>
      </w:r>
      <w:r w:rsidR="002B2F82" w:rsidRPr="00576E18">
        <w:t>.</w:t>
      </w:r>
    </w:p>
    <w:p w:rsidR="00062218" w:rsidRPr="00E82A1C" w:rsidRDefault="00062218" w:rsidP="00062218">
      <w:pPr>
        <w:pStyle w:val="Nadpis6"/>
        <w:rPr>
          <w:color w:val="auto"/>
        </w:rPr>
      </w:pPr>
      <w:r w:rsidRPr="00E82A1C">
        <w:rPr>
          <w:color w:val="auto"/>
        </w:rPr>
        <w:t>Elektrická energie, plyn a teplo</w:t>
      </w:r>
    </w:p>
    <w:p w:rsidR="00062218" w:rsidRPr="00F36BFF" w:rsidRDefault="00062218" w:rsidP="00062218">
      <w:pPr>
        <w:rPr>
          <w:b/>
        </w:rPr>
      </w:pPr>
      <w:r w:rsidRPr="00F36BFF">
        <w:rPr>
          <w:b/>
        </w:rPr>
        <w:t>Elektrická energie</w:t>
      </w:r>
    </w:p>
    <w:p w:rsidR="00062218" w:rsidRPr="00F36BFF" w:rsidRDefault="006E0246" w:rsidP="00062218">
      <w:pPr>
        <w:spacing w:before="120" w:after="120"/>
      </w:pPr>
      <w:r w:rsidRPr="000B78C4">
        <w:t xml:space="preserve">Zdrojem el. energie pro celou oblast kolem Ostrova je rozvodna 110kV/ 22kV, umístěná ve Kfelích. Z této rozvodny je napájeno uvedené venkovní vedení </w:t>
      </w:r>
      <w:r>
        <w:t>VN</w:t>
      </w:r>
      <w:r w:rsidRPr="000B78C4">
        <w:t xml:space="preserve"> – 22kV a další vedení mimo zájmovou oblast.</w:t>
      </w:r>
      <w:r>
        <w:t xml:space="preserve"> </w:t>
      </w:r>
      <w:r w:rsidRPr="00F36BFF">
        <w:t xml:space="preserve">Zásobování elektrickou energií je </w:t>
      </w:r>
      <w:r>
        <w:t xml:space="preserve">aktuálně dle územního plánu </w:t>
      </w:r>
      <w:r w:rsidRPr="00F36BFF">
        <w:t>dostatečné</w:t>
      </w:r>
      <w:r>
        <w:t>, avšak s ohledem na nároky na elektrickou energii u nových podniků na území města či v širším okolí hrozí riziko, že kapacita bude nedostatečná. Toto je řešeno v kompetenci ČEZ, který plánuje posílení kapacity</w:t>
      </w:r>
      <w:r w:rsidR="002B2F82">
        <w:t>.</w:t>
      </w:r>
    </w:p>
    <w:p w:rsidR="00062218" w:rsidRPr="009A468F" w:rsidRDefault="00062218" w:rsidP="00062218">
      <w:pPr>
        <w:rPr>
          <w:b/>
        </w:rPr>
      </w:pPr>
      <w:r w:rsidRPr="009A468F">
        <w:rPr>
          <w:b/>
        </w:rPr>
        <w:t>Plyn</w:t>
      </w:r>
    </w:p>
    <w:p w:rsidR="006E0246" w:rsidRDefault="006E0246" w:rsidP="006E0246">
      <w:pPr>
        <w:spacing w:before="120" w:after="120"/>
      </w:pPr>
      <w:r w:rsidRPr="00F36BFF">
        <w:t>V současné době je plynofikace provedena téměř na celém území ORP Ostrov.</w:t>
      </w:r>
    </w:p>
    <w:p w:rsidR="006E0246" w:rsidRPr="009A468F" w:rsidRDefault="006E0246" w:rsidP="006E0246">
      <w:pPr>
        <w:spacing w:before="120" w:after="120"/>
      </w:pPr>
      <w:r w:rsidRPr="009A468F">
        <w:t>Územím Ostrova prochází vysokotlaký plynovod o DN 300 mm, směrem od Karlových Varů podél obce Kfely, Dolní Žďár a pokračuje dále na Klášterec nad Ohří. Z tohoto vysokotlakého rozvodu jsou připojeny veškeré regulační stanice na území Ostrova.</w:t>
      </w:r>
    </w:p>
    <w:p w:rsidR="006E0246" w:rsidRPr="009A468F" w:rsidRDefault="006E0246" w:rsidP="006E0246">
      <w:pPr>
        <w:spacing w:before="120" w:after="120"/>
      </w:pPr>
      <w:r w:rsidRPr="009A468F">
        <w:t>V západní části města, poblíž ulice Jáchymovská je umístěna regulační stanice pro město o</w:t>
      </w:r>
      <w:r>
        <w:t> </w:t>
      </w:r>
      <w:r w:rsidRPr="009A468F">
        <w:t>výkonu 2.000 m</w:t>
      </w:r>
      <w:r w:rsidRPr="009A468F">
        <w:rPr>
          <w:vertAlign w:val="superscript"/>
        </w:rPr>
        <w:t>3</w:t>
      </w:r>
      <w:r w:rsidRPr="009A468F">
        <w:t xml:space="preserve"> /hod. Další vysokotlaká regulační stanice – „Ostrov Tesla“ o výkonu 3.000 m</w:t>
      </w:r>
      <w:r w:rsidRPr="009A468F">
        <w:rPr>
          <w:vertAlign w:val="superscript"/>
        </w:rPr>
        <w:t>3</w:t>
      </w:r>
      <w:r w:rsidRPr="009A468F">
        <w:t>/hod slouží k zásobování středotlakých regulačních stanic (dále jen STRS) „NG Elektro“ a</w:t>
      </w:r>
      <w:r>
        <w:t> </w:t>
      </w:r>
      <w:r w:rsidRPr="009A468F">
        <w:t xml:space="preserve">„STRS“ v ulici Krušnohorská. </w:t>
      </w:r>
    </w:p>
    <w:p w:rsidR="006E0246" w:rsidRPr="009A468F" w:rsidRDefault="006E0246" w:rsidP="006E0246">
      <w:pPr>
        <w:spacing w:before="120" w:after="120"/>
      </w:pPr>
      <w:r w:rsidRPr="009A468F">
        <w:t>Dále jsou na vysokotlaký plynovod napojeny RS věznice Vykmanov (mimo řešenou oblast) o</w:t>
      </w:r>
      <w:r>
        <w:t> </w:t>
      </w:r>
      <w:r w:rsidRPr="009A468F">
        <w:t>výkonu 1.200 m</w:t>
      </w:r>
      <w:r w:rsidRPr="009A468F">
        <w:rPr>
          <w:vertAlign w:val="superscript"/>
        </w:rPr>
        <w:t>3</w:t>
      </w:r>
      <w:r w:rsidRPr="009A468F">
        <w:t>/hod, RS Ostrovské teplárenské a.s. s výkonem 3.000 m</w:t>
      </w:r>
      <w:r w:rsidRPr="009A468F">
        <w:rPr>
          <w:vertAlign w:val="superscript"/>
        </w:rPr>
        <w:t>3</w:t>
      </w:r>
      <w:r w:rsidRPr="009A468F">
        <w:t>/hod. a  VTRS pro Ústav expertízy, nynější Centrum medicíny katastrof je připojena na stávající vysokotlaký přívod pro Nemocnici Ostrov.</w:t>
      </w:r>
    </w:p>
    <w:p w:rsidR="00062218" w:rsidRPr="00A4589F" w:rsidRDefault="006E0246" w:rsidP="006E0246">
      <w:pPr>
        <w:spacing w:before="120" w:after="120"/>
      </w:pPr>
      <w:r w:rsidRPr="00A4589F">
        <w:t>V současné době jsou zemním plynem zásobeny pouze staré město Ostrova, nové město, průmyslové závody v Dolním Žďáru, Horním Žďáru a Vykmanově. Probíhá plynofikace části Kfely a plynofikace obytné zástavby Dolní a Horní Žďár</w:t>
      </w:r>
      <w:r>
        <w:t>,</w:t>
      </w:r>
      <w:r w:rsidRPr="00A4589F">
        <w:t xml:space="preserve"> a to ze středotlakého plynovodu PE Ø 160 z RS v</w:t>
      </w:r>
      <w:r>
        <w:t> </w:t>
      </w:r>
      <w:r w:rsidRPr="00A4589F">
        <w:t>Dolním Žďáru do výrobního areálu na severním cípu H. Žďáru</w:t>
      </w:r>
      <w:r w:rsidR="0049495C" w:rsidRPr="00A4589F">
        <w:t>.</w:t>
      </w:r>
    </w:p>
    <w:p w:rsidR="00062218" w:rsidRPr="00C9179E" w:rsidRDefault="00062218" w:rsidP="00062218">
      <w:pPr>
        <w:rPr>
          <w:b/>
        </w:rPr>
      </w:pPr>
      <w:r w:rsidRPr="00C9179E">
        <w:rPr>
          <w:b/>
        </w:rPr>
        <w:lastRenderedPageBreak/>
        <w:t>Teplo a vytápění</w:t>
      </w:r>
    </w:p>
    <w:p w:rsidR="006E0246" w:rsidRDefault="006E0246" w:rsidP="006E0246">
      <w:r>
        <w:t>Město Ostrov má rozvinutou soustavu CZT zásobovanou z teplárny Ostrovská teplárenská, a.s. ležící na jejím území. Majoritním akcionářem této společnosti je město Ostrov.</w:t>
      </w:r>
    </w:p>
    <w:p w:rsidR="006E0246" w:rsidRDefault="006E0246" w:rsidP="006E0246">
      <w:r>
        <w:t>Níže uvádíme základní informace z výroční zprávy společnosti za rok 2016. V Ostrově je zásobováno prostřednictvím primárních a sekundárních sítí celkem 308 odběratelů s 340 odběrnými místy. Největším odběratelem tepla byla společnost CZECH-CONT, s.r.o., napojená přímo ze zdroje. Mezi největší nebytové odběry patřila zejména školská zařízení ve vlastnictví Města Ostrova a Karlovarského kraje, dále poliklinika, penzion, Elektro-S, TESCO, zimní stadion, knihovna a další. Z celkové dodávky tepla bylo realizováno 77,2 % dodávek pro byty ve vlastnictví společenství vlastníků, města a bytového družstva.</w:t>
      </w:r>
    </w:p>
    <w:p w:rsidR="006E0246" w:rsidRDefault="006E0246" w:rsidP="006E0246">
      <w:r>
        <w:t>Technické podmínky umožňují další rozvoj sítě pro bytově-komunální sféru a část podnikatelských aktivit v území. Průběžně jsou prováděny rekonstrukce a modernizace sítě. Je sledována rovněž diverzifikaci palivové základny. V roce 2016 došlo k rozšíření palivové základny o palivo spadající do kategorie obnovitelné zdroje – tj. výstavbě biomasového kotle K4 na biomasu.</w:t>
      </w:r>
    </w:p>
    <w:p w:rsidR="006E0246" w:rsidRDefault="006E0246" w:rsidP="006E0246">
      <w:r>
        <w:t>Rizikem do budoucna je, jak z hlediska kvality ovzduší, tak provozu samotné teplárny, odpojování uživatelů od CZT. Cílem města je proto zachování systému CZT a jeho rozvoj.</w:t>
      </w:r>
    </w:p>
    <w:p w:rsidR="006E0246" w:rsidRDefault="006E0246" w:rsidP="006E0246">
      <w:r>
        <w:t xml:space="preserve">Město Ostrov má zpracovanou </w:t>
      </w:r>
      <w:r w:rsidRPr="002636DD">
        <w:rPr>
          <w:b/>
        </w:rPr>
        <w:t>Územní energetickou koncepci města Ostrov</w:t>
      </w:r>
      <w:r>
        <w:t xml:space="preserve"> z roku 2009 (dále také ÚEK – pozn. Není závazná). Z ní zde uvádíme základní skutečnosti a hlavní koncepční závěry, které jsou platné do současné doby.</w:t>
      </w:r>
    </w:p>
    <w:p w:rsidR="006E0246" w:rsidRDefault="006E0246" w:rsidP="006E0246">
      <w:r>
        <w:t>Město Ostrov počítá s rozvojem či stabilizací CZT a rovněž je předpokládáno, že:</w:t>
      </w:r>
    </w:p>
    <w:p w:rsidR="006E0246" w:rsidRDefault="006E0246" w:rsidP="006E0246">
      <w:pPr>
        <w:numPr>
          <w:ilvl w:val="1"/>
          <w:numId w:val="1"/>
        </w:numPr>
        <w:ind w:left="709" w:hanging="425"/>
      </w:pPr>
      <w:r>
        <w:t>objekty stávající výstavby nyní zásobované z CZT budou dále zásobovány z CZT</w:t>
      </w:r>
    </w:p>
    <w:p w:rsidR="006E0246" w:rsidRDefault="006E0246" w:rsidP="006E0246">
      <w:pPr>
        <w:numPr>
          <w:ilvl w:val="1"/>
          <w:numId w:val="1"/>
        </w:numPr>
        <w:ind w:left="709" w:hanging="425"/>
      </w:pPr>
      <w:r>
        <w:t>město bude podporovat přepojení některých vybraných, v ÚEK přesně specifikovaných, kotelen na tuhá paliva a ZP na zásobování z CZT</w:t>
      </w:r>
    </w:p>
    <w:p w:rsidR="006E0246" w:rsidRDefault="006E0246" w:rsidP="006E0246">
      <w:pPr>
        <w:numPr>
          <w:ilvl w:val="1"/>
          <w:numId w:val="1"/>
        </w:numPr>
        <w:ind w:left="709" w:hanging="425"/>
      </w:pPr>
      <w:r>
        <w:t>u nově navrhovaných objektů hromadné bytové výstavby, občanské vybavenosti a lehkého průmyslu bude vyžadováno přednostní napojení na soustavu centrálního zásobování teplem kromě rozvojových ploch vzdálených od stávajících sítí CZT a určených pro výstavbu rodinných domů.</w:t>
      </w:r>
    </w:p>
    <w:p w:rsidR="006E0246" w:rsidRDefault="006E0246" w:rsidP="006E0246">
      <w:pPr>
        <w:numPr>
          <w:ilvl w:val="1"/>
          <w:numId w:val="1"/>
        </w:numPr>
        <w:ind w:left="709" w:hanging="425"/>
      </w:pPr>
      <w:r>
        <w:t>u nově navržené i stávající nízkopodlažní zástavby a u objektů ležících mimo ekonomicky a technicky dosažitelnou oblast CZT budou vyžadovány instalace vysoce účinných a ekologicky přijatelných zdrojů na bázi zemního plynu, el. energie a obnovitelných zdrojů. Pro blokové a domovní kotelny je jako palivo uvažován výhradně zemní plyn.</w:t>
      </w:r>
    </w:p>
    <w:p w:rsidR="006E0246" w:rsidRDefault="006E0246" w:rsidP="006E0246">
      <w:pPr>
        <w:numPr>
          <w:ilvl w:val="1"/>
          <w:numId w:val="1"/>
        </w:numPr>
        <w:ind w:left="709" w:hanging="425"/>
      </w:pPr>
      <w:r>
        <w:t>stávající zdroje lokální na uhlí budou postupně, ale v co možná nejkratším termínu, převedeny na spalování jiných paliv nebo na využívání obnovitelných zdrojů.</w:t>
      </w:r>
    </w:p>
    <w:p w:rsidR="009C3E7C" w:rsidRDefault="009C3E7C" w:rsidP="006E0246"/>
    <w:p w:rsidR="006E0246" w:rsidRDefault="006E0246" w:rsidP="006E0246">
      <w:r>
        <w:lastRenderedPageBreak/>
        <w:t>S rozvojem či stabilizací CZT je dále prosazováno:</w:t>
      </w:r>
    </w:p>
    <w:p w:rsidR="006E0246" w:rsidRDefault="006E0246" w:rsidP="006B195F">
      <w:pPr>
        <w:ind w:left="709" w:hanging="425"/>
        <w:contextualSpacing/>
      </w:pPr>
      <w:r>
        <w:t>•</w:t>
      </w:r>
      <w:r>
        <w:tab/>
        <w:t>postupné vytěsňování zbývajícího lokálního spalování tuhých paliv</w:t>
      </w:r>
    </w:p>
    <w:p w:rsidR="006E0246" w:rsidRDefault="006E0246" w:rsidP="006B195F">
      <w:pPr>
        <w:ind w:left="709" w:hanging="425"/>
        <w:contextualSpacing/>
      </w:pPr>
      <w:r>
        <w:t>•</w:t>
      </w:r>
      <w:r>
        <w:tab/>
        <w:t>maximálně možné úspory ve spotřebě paliv a energií</w:t>
      </w:r>
    </w:p>
    <w:p w:rsidR="006E0246" w:rsidRDefault="006E0246" w:rsidP="006E0246">
      <w:pPr>
        <w:ind w:left="709" w:hanging="425"/>
      </w:pPr>
      <w:r>
        <w:t>•</w:t>
      </w:r>
      <w:r>
        <w:tab/>
        <w:t>minimalizaci emisí ze spalování paliv v</w:t>
      </w:r>
      <w:r w:rsidR="006B195F">
        <w:t>e vnitřní části</w:t>
      </w:r>
      <w:r>
        <w:t xml:space="preserve"> města</w:t>
      </w:r>
    </w:p>
    <w:p w:rsidR="006E0246" w:rsidRDefault="006E0246" w:rsidP="006E0246">
      <w:r>
        <w:t>Zajištění zvýšené spotřeby tepla oproti současnému stavu nepředpokládá zásadní změny v potřebné kapacitě centrálního zdroje. Případné navýšení příkonu (asi 10 MWt) do roku 2030 bude dostatečně kryto dosavadním technologickým zařízením teplárny, samozřejmě nezbytné bude věnovat náležitou péči údržbě a postupné obnově.</w:t>
      </w:r>
    </w:p>
    <w:p w:rsidR="006E0246" w:rsidRDefault="006E0246" w:rsidP="006E0246">
      <w:r>
        <w:t>Konstrukce horkovodní sítě CZT ve městě bude u nových staveb řešena jako podzemní bezkanálové vedení s předizolovaným potrubím. Napojení nových odběratelů ze soustavy CZT bude řešeno výstavbou kompaktních, tlakově nezávislých předávacích stanic (TNS).</w:t>
      </w:r>
    </w:p>
    <w:p w:rsidR="00062218" w:rsidRDefault="006E0246" w:rsidP="006E0246">
      <w:r>
        <w:t>Velká část objektů bydlení v centrální části města byla zateplena. U stávající výstavby se doporučuje dále pokračovat v postupné obnově obvodových konstrukcí budov s využitím materiálů a technologií zlepšujících jejich tepelně technické vlastnosti</w:t>
      </w:r>
      <w:r w:rsidR="0049495C">
        <w:t>.</w:t>
      </w:r>
    </w:p>
    <w:p w:rsidR="006B195F" w:rsidRPr="006B195F" w:rsidRDefault="006B195F" w:rsidP="006B195F">
      <w:pPr>
        <w:rPr>
          <w:rFonts w:ascii="Arial" w:eastAsia="Times New Roman" w:hAnsi="Arial" w:cs="Arial"/>
          <w:spacing w:val="0"/>
          <w:sz w:val="30"/>
          <w:szCs w:val="30"/>
          <w:lang w:eastAsia="cs-CZ" w:bidi="ar-SA"/>
        </w:rPr>
      </w:pPr>
      <w:r>
        <w:t xml:space="preserve">Strategickou infrastrukturou je </w:t>
      </w:r>
      <w:r w:rsidRPr="006B195F">
        <w:t>Metropolitní síť města Ostrov</w:t>
      </w:r>
      <w:r>
        <w:t>. Tato optická síť je systematicky budována, rozšiřována a k</w:t>
      </w:r>
      <w:r w:rsidRPr="006B195F">
        <w:t>aždý rok se modernizuje část starých rozvodů</w:t>
      </w:r>
      <w:r>
        <w:t>. Výhodou pro občany města je zkvalitní signálu kabelové televize, zrychlení internetu a také bezpečnost ve městě, protože optickou sítí jde přenos z kamer umístěných ve městě na policii jak státní tak městskou.</w:t>
      </w:r>
    </w:p>
    <w:p w:rsidR="00FC30B4" w:rsidRDefault="00FC30B4" w:rsidP="00001931"/>
    <w:p w:rsidR="00001931" w:rsidRPr="007B0DDF" w:rsidRDefault="00001931" w:rsidP="00001931">
      <w:pPr>
        <w:pStyle w:val="Nadpis4"/>
        <w:pBdr>
          <w:top w:val="none" w:sz="0" w:space="0" w:color="auto"/>
          <w:left w:val="none" w:sz="0" w:space="0" w:color="auto"/>
        </w:pBdr>
        <w:shd w:val="clear" w:color="auto" w:fill="372C74"/>
        <w:spacing w:before="0" w:after="200"/>
        <w:ind w:firstLine="0"/>
        <w:rPr>
          <w:color w:val="auto"/>
          <w:spacing w:val="4"/>
          <w:szCs w:val="24"/>
        </w:rPr>
      </w:pPr>
      <w:bookmarkStart w:id="84" w:name="_Toc516058319"/>
      <w:r w:rsidRPr="007B0DDF">
        <w:rPr>
          <w:color w:val="auto"/>
          <w:spacing w:val="4"/>
          <w:szCs w:val="24"/>
        </w:rPr>
        <w:t>II. Dopravní infrastruktura</w:t>
      </w:r>
      <w:bookmarkEnd w:id="84"/>
    </w:p>
    <w:p w:rsidR="00522D24" w:rsidRPr="004A3E24" w:rsidRDefault="00522D24" w:rsidP="00522D24">
      <w:pPr>
        <w:pStyle w:val="Nadpis6"/>
        <w:rPr>
          <w:rFonts w:asciiTheme="majorHAnsi" w:hAnsiTheme="majorHAnsi"/>
        </w:rPr>
      </w:pPr>
      <w:r w:rsidRPr="004A3E24">
        <w:rPr>
          <w:rFonts w:asciiTheme="majorHAnsi" w:hAnsiTheme="majorHAnsi"/>
        </w:rPr>
        <w:t>Silniční infrastruktura</w:t>
      </w:r>
    </w:p>
    <w:p w:rsidR="00522D24" w:rsidRPr="00646F9B" w:rsidRDefault="00522D24" w:rsidP="00646F9B">
      <w:pPr>
        <w:spacing w:before="0" w:after="0" w:line="240" w:lineRule="auto"/>
        <w:rPr>
          <w:rFonts w:asciiTheme="majorHAnsi" w:hAnsiTheme="majorHAnsi"/>
          <w:sz w:val="16"/>
          <w:szCs w:val="16"/>
        </w:rPr>
      </w:pPr>
    </w:p>
    <w:p w:rsidR="006E0246" w:rsidRDefault="006E0246" w:rsidP="006E0246">
      <w:pPr>
        <w:spacing w:before="120" w:after="120"/>
      </w:pPr>
      <w:r w:rsidRPr="00E82309">
        <w:t>Městem prochází silnice I/13 směr K. Vary – Chomutov – Děčín - Liberec, ze které odbočuje v</w:t>
      </w:r>
      <w:r>
        <w:t> </w:t>
      </w:r>
      <w:r w:rsidRPr="00E82309">
        <w:t>Dolním Žďáru silnice I/25 směr Jáchymov, st. hranice.</w:t>
      </w:r>
      <w:r>
        <w:t xml:space="preserve"> Byla postavena p</w:t>
      </w:r>
      <w:r w:rsidRPr="00E82309">
        <w:t>řeložka I/13</w:t>
      </w:r>
      <w:r>
        <w:t xml:space="preserve"> (obchvat), která</w:t>
      </w:r>
      <w:r w:rsidRPr="00E82309">
        <w:t xml:space="preserve"> je vedena západně, z části severně</w:t>
      </w:r>
      <w:r>
        <w:t>,</w:t>
      </w:r>
      <w:r w:rsidRPr="00E82309">
        <w:t xml:space="preserve"> od zastavěného území. Komunikační síť města je na přeložku napojena na třech místech. Ve všech případech jde o mimoúrovňové křižovatky.</w:t>
      </w:r>
    </w:p>
    <w:p w:rsidR="006E0246" w:rsidRDefault="006E0246" w:rsidP="006E0246">
      <w:pPr>
        <w:spacing w:before="120" w:after="120"/>
      </w:pPr>
      <w:r>
        <w:t xml:space="preserve">Dopravní kostru města po realizaci přeložky I/13 tvoří jednak průtah silnice II/221 Hroznětínskou ulicí, dál částí Jáchymovské a Nádražní směrem na Mořičov. Druhou silnicí zasahující do města, která v podstatě připojuje město na K. Vary, je úsek silnice III/22222 (od Hájku) v úseku od křižovatky s přeložkou I/13 ke křižovatce s Nádražní ulicí (průtah II/221). Další komunikace, které tvoří dopravní kostru města, jsou místní komunikace II. třídy. Je to bývalý průtah I/13 – ulice Jáchymovská od křižovatky s Hroznětínskou až do Dolního Žďáru, nová komunikace připojující II/221 přes mimoúrovňovou křižovatku s přeložkou I/13 na křižovatku Jáchymovská – Hlavní. Ze stávajících ulic jsou to zejména ulice Hlavní a další uvedené v územním plánu města. </w:t>
      </w:r>
    </w:p>
    <w:p w:rsidR="006E0246" w:rsidRDefault="006E0246" w:rsidP="006E0246">
      <w:pPr>
        <w:spacing w:before="120" w:after="120"/>
      </w:pPr>
      <w:r>
        <w:lastRenderedPageBreak/>
        <w:t>Intenzita dopravy na hlavních komunikací dosahuje přes 12 000 automobilů/24 hodin na silnici I/13 a cca 5000 automobilů/24 h na ulici Jáchymovská.</w:t>
      </w:r>
    </w:p>
    <w:p w:rsidR="006E0246" w:rsidRDefault="006E0246" w:rsidP="006E0246">
      <w:pPr>
        <w:spacing w:before="120" w:after="120"/>
      </w:pPr>
      <w:r w:rsidRPr="0075507B">
        <w:t>Jako doplnění komunikací II. tř</w:t>
      </w:r>
      <w:r>
        <w:t>ídy</w:t>
      </w:r>
      <w:r w:rsidRPr="0075507B">
        <w:t xml:space="preserve"> se </w:t>
      </w:r>
      <w:r>
        <w:t xml:space="preserve">v územním plánu </w:t>
      </w:r>
      <w:r w:rsidRPr="0075507B">
        <w:t>navrhuje propojení ulice Lidické s</w:t>
      </w:r>
      <w:r>
        <w:t> </w:t>
      </w:r>
      <w:r w:rsidRPr="0075507B">
        <w:t xml:space="preserve">Krušnohorskou na </w:t>
      </w:r>
      <w:r>
        <w:t>v</w:t>
      </w:r>
      <w:r w:rsidRPr="0075507B">
        <w:t>ýchodním okraji města. Z významných ulic III.</w:t>
      </w:r>
      <w:r>
        <w:t xml:space="preserve"> </w:t>
      </w:r>
      <w:r w:rsidRPr="0075507B">
        <w:t>tř</w:t>
      </w:r>
      <w:r>
        <w:t>ídy</w:t>
      </w:r>
      <w:r w:rsidRPr="0075507B">
        <w:t xml:space="preserve"> se navrhuje prodloužení Hlavní ulice obloukem pod nemocnicí do ulice U nemocnice a propojení zmíněného oblouku s</w:t>
      </w:r>
      <w:r>
        <w:t> </w:t>
      </w:r>
      <w:r w:rsidRPr="0075507B">
        <w:t>prodloužením Lidické.</w:t>
      </w:r>
      <w:r>
        <w:t xml:space="preserve"> Zájmem města je také zklidnění ulice Jáchymovská. </w:t>
      </w:r>
    </w:p>
    <w:p w:rsidR="006E0246" w:rsidRDefault="006E0246" w:rsidP="006E0246">
      <w:pPr>
        <w:spacing w:before="120" w:after="120"/>
      </w:pPr>
      <w:r>
        <w:t>Problémem je nárůst automobilové dopravy do nových ploch výroby a obchodních prostor na okrajích města.</w:t>
      </w:r>
    </w:p>
    <w:p w:rsidR="006E0246" w:rsidRDefault="006E0246" w:rsidP="006E0246">
      <w:pPr>
        <w:spacing w:before="120" w:after="120"/>
        <w:rPr>
          <w:sz w:val="18"/>
          <w:szCs w:val="18"/>
        </w:rPr>
      </w:pPr>
      <w:bookmarkStart w:id="85" w:name="_Toc516058986"/>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21</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Pr="00E03E82">
        <w:rPr>
          <w:rFonts w:cs="Arial-ItalicMT"/>
          <w:iCs/>
          <w:sz w:val="18"/>
          <w:szCs w:val="18"/>
        </w:rPr>
        <w:t xml:space="preserve">– </w:t>
      </w:r>
      <w:r>
        <w:rPr>
          <w:sz w:val="18"/>
          <w:szCs w:val="18"/>
        </w:rPr>
        <w:t>Hlavní dopravní komunikace na území města</w:t>
      </w:r>
      <w:bookmarkEnd w:id="85"/>
    </w:p>
    <w:p w:rsidR="006E0246" w:rsidRDefault="006E0246" w:rsidP="006E0246">
      <w:pPr>
        <w:spacing w:before="120" w:after="120"/>
      </w:pPr>
      <w:r>
        <w:rPr>
          <w:noProof/>
          <w:lang w:eastAsia="cs-CZ" w:bidi="ar-SA"/>
        </w:rPr>
        <w:drawing>
          <wp:inline distT="0" distB="0" distL="0" distR="0">
            <wp:extent cx="5752465" cy="3232150"/>
            <wp:effectExtent l="19050" t="0" r="635" b="0"/>
            <wp:docPr id="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a:stretch>
                      <a:fillRect/>
                    </a:stretch>
                  </pic:blipFill>
                  <pic:spPr bwMode="auto">
                    <a:xfrm>
                      <a:off x="0" y="0"/>
                      <a:ext cx="5752465" cy="3232150"/>
                    </a:xfrm>
                    <a:prstGeom prst="rect">
                      <a:avLst/>
                    </a:prstGeom>
                    <a:noFill/>
                    <a:ln w="9525">
                      <a:noFill/>
                      <a:miter lim="800000"/>
                      <a:headEnd/>
                      <a:tailEnd/>
                    </a:ln>
                  </pic:spPr>
                </pic:pic>
              </a:graphicData>
            </a:graphic>
          </wp:inline>
        </w:drawing>
      </w:r>
    </w:p>
    <w:p w:rsidR="006E0246" w:rsidRPr="002B201B" w:rsidRDefault="006E0246" w:rsidP="006E0246">
      <w:pPr>
        <w:spacing w:before="120" w:after="120"/>
        <w:rPr>
          <w:sz w:val="16"/>
          <w:szCs w:val="16"/>
        </w:rPr>
      </w:pPr>
      <w:r>
        <w:rPr>
          <w:sz w:val="16"/>
          <w:szCs w:val="16"/>
        </w:rPr>
        <w:t xml:space="preserve">Zdroj: </w:t>
      </w:r>
      <w:hyperlink r:id="rId35" w:history="1">
        <w:r w:rsidRPr="00BF7625">
          <w:rPr>
            <w:rStyle w:val="Hypertextovodkaz"/>
            <w:sz w:val="16"/>
            <w:szCs w:val="16"/>
          </w:rPr>
          <w:t>www.mapy.cz</w:t>
        </w:r>
      </w:hyperlink>
      <w:r>
        <w:rPr>
          <w:sz w:val="16"/>
          <w:szCs w:val="16"/>
        </w:rPr>
        <w:t xml:space="preserve"> </w:t>
      </w:r>
    </w:p>
    <w:p w:rsidR="006E0246" w:rsidRDefault="006E0246" w:rsidP="006E0246">
      <w:pPr>
        <w:spacing w:before="120" w:after="120"/>
      </w:pPr>
      <w:r>
        <w:t xml:space="preserve">Odstavování vozidel se děje z části na volných plochách podél některých ulic, z části v řadových garážích umístěných v několika skupinách na různých místech města. Počítá se s vybudováním podzemních garáží u Masarykovy ulice severně od stávající školy. S vybudováním dalších hromadných garáží ani s výstavbou nových skupin řadových garáží mimo stávající „garážové areály“ se neuvažuje. </w:t>
      </w:r>
    </w:p>
    <w:p w:rsidR="006E0246" w:rsidRDefault="006E0246" w:rsidP="006E0246">
      <w:pPr>
        <w:spacing w:before="120" w:after="120"/>
      </w:pPr>
      <w:r>
        <w:t>Parkování vozidel se částečně prolíná s odstavováním. V některých ulicích byla vybudována šikmá či kolmá stání, která fungují jako odstavná i parkovací. Předpokládá se, že podobné úpravy budou pokračovat i v některých dalších ulicích. Na místech, která vyvolávají soustředění nároků na parkování, jsou zpravidla průběžně parkovací plochy budovány (obchodní domy, kulturní zařízení, správní objekty a jiné úřady či podniky). Nedostatek míst se jeví u některých podniků (Hroznětínská ulice) či sportovních zařízení (hřiště pro kopanou).</w:t>
      </w:r>
    </w:p>
    <w:p w:rsidR="006E0246" w:rsidRDefault="006E0246" w:rsidP="006E0246">
      <w:pPr>
        <w:spacing w:before="120" w:after="120"/>
      </w:pPr>
      <w:r>
        <w:lastRenderedPageBreak/>
        <w:t>Požadavky na parkovací plochy jsou někdy v kolizi se zájmy na ochranu zeleně a je potřeba je vhodně vyvažovat a zajistit ochranu stávající zeleně.</w:t>
      </w:r>
    </w:p>
    <w:p w:rsidR="006E0246" w:rsidRDefault="006E0246" w:rsidP="006E0246">
      <w:pPr>
        <w:spacing w:before="120" w:after="120"/>
      </w:pPr>
    </w:p>
    <w:p w:rsidR="006E0246" w:rsidRPr="00E82A1C" w:rsidRDefault="006E0246" w:rsidP="006E0246">
      <w:pPr>
        <w:pStyle w:val="Nadpis6"/>
        <w:rPr>
          <w:color w:val="auto"/>
        </w:rPr>
      </w:pPr>
      <w:r>
        <w:rPr>
          <w:color w:val="auto"/>
        </w:rPr>
        <w:t>Veřejná doprava</w:t>
      </w:r>
    </w:p>
    <w:p w:rsidR="006E0246" w:rsidRDefault="006E0246" w:rsidP="006E0246">
      <w:pPr>
        <w:spacing w:before="120" w:after="120"/>
      </w:pPr>
      <w:r w:rsidRPr="00E82309">
        <w:t>Městem prochází dvoukolejná železniční trať č.</w:t>
      </w:r>
      <w:r>
        <w:t xml:space="preserve"> </w:t>
      </w:r>
      <w:r w:rsidRPr="00E82309">
        <w:t xml:space="preserve">140 Cheb – K. Vary – Chomutov. Trať zajišťuje jak osobní, tak i poměrně silnou nákladní dopravu. Železniční nádraží je na jižním okraji města. </w:t>
      </w:r>
      <w:r>
        <w:t xml:space="preserve">Četnost vlakových spojů je dobrá. </w:t>
      </w:r>
      <w:r w:rsidRPr="00E82309">
        <w:t>Z</w:t>
      </w:r>
      <w:r>
        <w:t> </w:t>
      </w:r>
      <w:r w:rsidRPr="00E82309">
        <w:t>kolejiště byly vyvedeny 2 vlečky. Jedna (krátká) je vedena do průmyslového podniku jižně od nádraží, druhá již zrušená byla vedena v podstatě přes celé město z nádraží do Dolního Žďáru.</w:t>
      </w:r>
      <w:r>
        <w:t xml:space="preserve"> Plánuje se zkapacitnění železniční trasy.</w:t>
      </w:r>
    </w:p>
    <w:p w:rsidR="006E0246" w:rsidRDefault="006E0246" w:rsidP="006E0246">
      <w:pPr>
        <w:spacing w:before="120" w:after="120"/>
      </w:pPr>
      <w:r w:rsidRPr="002B201B">
        <w:t>Autobusové nádraží je umístěno v podstatě v Masarykově ulici v prostoru Mírového náměstí; Počítá se s vybudováním nového centrálního nádraží – v prostoru východně od křižovatky přípojky z I/13 s Jáchymovskou ulicí.</w:t>
      </w:r>
    </w:p>
    <w:p w:rsidR="006E0246" w:rsidRDefault="006E0246" w:rsidP="006E0246">
      <w:pPr>
        <w:spacing w:before="120" w:after="120"/>
      </w:pPr>
      <w:r>
        <w:t>Do června 2017 zajišťoval městskou hromadnou dopravu Dopravní podnik Ostrov, s. r. o. (dále jen „DPO“). Od 01. 07. 2017 není již dopravní obslužnost města prostřednictvím DPO zajištěna. V současné době je zajišťována prostřednictvím jiného smluvního dopravce - Dopravní podnik Karlovy Vary, a. s.</w:t>
      </w:r>
    </w:p>
    <w:p w:rsidR="006E0246" w:rsidRPr="00E82A1C" w:rsidRDefault="006E0246" w:rsidP="006E0246">
      <w:pPr>
        <w:pStyle w:val="Nadpis6"/>
        <w:rPr>
          <w:color w:val="auto"/>
        </w:rPr>
      </w:pPr>
      <w:r>
        <w:rPr>
          <w:color w:val="auto"/>
        </w:rPr>
        <w:t>Bezmotorová doprava</w:t>
      </w:r>
    </w:p>
    <w:p w:rsidR="006E0246" w:rsidRDefault="006E0246" w:rsidP="006E0246">
      <w:pPr>
        <w:spacing w:before="120" w:after="120"/>
      </w:pPr>
      <w:r>
        <w:t>Na území města se nachází naučná stezka Po starých cestách okolo Ostrova, NS Ostrovsko a hornictví a NS Borecké rybníky. Městem vede žlutá turistická trasa, v Horním Žďáru zelená a přes Arnoldov modrá.</w:t>
      </w:r>
    </w:p>
    <w:p w:rsidR="006E0246" w:rsidRDefault="006E0246" w:rsidP="006E0246">
      <w:pPr>
        <w:spacing w:before="120" w:after="120"/>
      </w:pPr>
      <w:r w:rsidRPr="0075507B">
        <w:t xml:space="preserve">Prostor kolem Boreckých rybníků se </w:t>
      </w:r>
      <w:r>
        <w:t xml:space="preserve">v územním plánu </w:t>
      </w:r>
      <w:r w:rsidRPr="0075507B">
        <w:t>navrhuje využít pro rekreaci a odpočinek jako lesopark. Navrhuje se zde soustava pěších cest připojených v několika místech na Severní. Jako hlavní cesty lze klasifikovat obvodovou komunikaci kolem areálu, z níž budou přístupné – převážně krátkými slepými cestami – jednotlivé dílčí prostory a cesta ve směru sever – jih z</w:t>
      </w:r>
      <w:r>
        <w:t> </w:t>
      </w:r>
      <w:r w:rsidRPr="0075507B">
        <w:t xml:space="preserve">prostoru sportovních zařízení od Severní ulice. </w:t>
      </w:r>
      <w:r>
        <w:t>Naučná stezka, pěší turistická trasa a cyklotrasa se zde již nachází.</w:t>
      </w:r>
    </w:p>
    <w:p w:rsidR="006E0246" w:rsidRDefault="006E0246" w:rsidP="006E0246">
      <w:pPr>
        <w:spacing w:before="120" w:after="120"/>
      </w:pPr>
      <w:r>
        <w:t xml:space="preserve">Pro oblast </w:t>
      </w:r>
      <w:r w:rsidRPr="00F2641E">
        <w:rPr>
          <w:b/>
        </w:rPr>
        <w:t>cyklodopravy</w:t>
      </w:r>
      <w:r>
        <w:t xml:space="preserve"> má město zpracován aktualizovaný </w:t>
      </w:r>
      <w:r w:rsidRPr="006A16FC">
        <w:t>Generel cyklistické dopravy v</w:t>
      </w:r>
      <w:r>
        <w:t> </w:t>
      </w:r>
      <w:r w:rsidRPr="006A16FC">
        <w:t>Ostrově</w:t>
      </w:r>
      <w:r>
        <w:t xml:space="preserve"> z roku 2017. Ten navrhuje vybudování sítě cyklistických tras, které by sloužily jak pro rekreační účely, tak pro každodenní používání jízdního kola, např. pro cesty do práce. Výstavba jednotlivých úseků cyklistických tras se v Ostrově bude odehrávat především jako samostatné investice, ale i jako součást jiných staveb (např. při výstavbě komunikací). Cyklistické trasy jsou nejdůležitější částí cyklistické infrastruktury, generel však zmiňuje i umístění dalších zařízení, jako je např. cykloturistický „terminál“, úschovna kol, informačních systémy apod.</w:t>
      </w:r>
    </w:p>
    <w:p w:rsidR="006E0246" w:rsidRDefault="006E0246" w:rsidP="006E0246">
      <w:pPr>
        <w:spacing w:before="120" w:after="120"/>
      </w:pPr>
      <w:r>
        <w:t xml:space="preserve">Přestože objem cyklistické dopravy není ve městě zanedbatelný, nejsou zde dosud vytvořeny vhodné podmínky pro bezpečný provoz cyklistů. V minulosti byly při rekonstrukci Hlavní třídy vybudovány pruhy pro cyklisty v přidruženém prostoru (podél chodníku). Cyklostezka vede též ze </w:t>
      </w:r>
      <w:r>
        <w:lastRenderedPageBreak/>
        <w:t>sídliště směrem na Horní Žďár v souběhu se silnicí I. třídy č. 25 (a dále na Jáchymov) a částečně úsek cyklostezky napojuje také Kfely. Za zásadní počin v budování infrastruktury pro cyklisty lze bezesporu považovat vybudování stezky pro chodce a cyklisty na tělese bývalé vlečky od vlakového nádraží až po Hlavní třídu (součást Ostrovského ronda). Tím byl v podstatě vyřešen jeden z největších nedostatků cyklistické infrastruktury v centrální části města. Takto vzniklé bezpečné propojení převzalo velkou část jízd na kole v severojižním směru a patrně i přispělo k tomu, že se v Ostrově jízdní kolo častěji používá jako dopravní prostředek. A to i přesto, že technické řešení křížení „ronda“ s místními komunikacemi pojížděnými motorovou dopravou, např. ul. Dukelských hrdinů, Krušnohorská apod. není z uživatelského hlediska nijak příznivé. V ostatních částech města jsou dosud cyklisté nuceni využívat motoristických komunikací nebo pěších komunikací, kde na ně však „číhají“ různá omezení a nebezpečné detaily.</w:t>
      </w:r>
    </w:p>
    <w:p w:rsidR="006E0246" w:rsidRDefault="006E0246" w:rsidP="006E0246">
      <w:pPr>
        <w:spacing w:before="120" w:after="120"/>
      </w:pPr>
      <w:r>
        <w:t>Z hlediska pohybu po městě představuje největší překážku pro cyklisty systém jednosměrných ulic. Systém místy znemožňuje užívání běžných komunikací cyklisty a vede buď k jízdám po chodníku, nebo do zákazu vjezdu. Další problém představují scházející místa pro odstavování jízdních kol – obzvláště u úřadů, škol a obchodů není dosud dostatečně kvalitně řešena možnost odstavování jízdních kol (bezpečné uzamykatelné stojany).</w:t>
      </w:r>
    </w:p>
    <w:p w:rsidR="006E0246" w:rsidRDefault="006E0246" w:rsidP="006E0246">
      <w:pPr>
        <w:spacing w:before="120" w:after="120"/>
      </w:pPr>
      <w:r>
        <w:t>V rámci Generelu byla zpracována také anketa mezi občany. Zde uvádíme stručně hlavní problémy a požadavky občanů:</w:t>
      </w:r>
    </w:p>
    <w:p w:rsidR="006E0246" w:rsidRDefault="006E0246" w:rsidP="006E0246">
      <w:pPr>
        <w:numPr>
          <w:ilvl w:val="0"/>
          <w:numId w:val="9"/>
        </w:numPr>
        <w:spacing w:before="120" w:after="120"/>
      </w:pPr>
      <w:r>
        <w:t xml:space="preserve">Zvyšování bezpečnosti cyklistů pomocí stavebních úprav v místech, kde hrozí střety s ostatními účastníky provozu (automobily, chodci), </w:t>
      </w:r>
    </w:p>
    <w:p w:rsidR="006E0246" w:rsidRDefault="006E0246" w:rsidP="006E0246">
      <w:pPr>
        <w:numPr>
          <w:ilvl w:val="0"/>
          <w:numId w:val="9"/>
        </w:numPr>
        <w:spacing w:before="120" w:after="120"/>
      </w:pPr>
      <w:r>
        <w:t>Zřizování cyklistických stezek do okolí města. Chybí spojení centra města s okrajovými částmi (nádraží, nemocnice, velké prodejny apod.), tak i v okolí (např. ve směru na Karlovy Vary).</w:t>
      </w:r>
    </w:p>
    <w:p w:rsidR="006E0246" w:rsidRDefault="006E0246" w:rsidP="006E0246">
      <w:pPr>
        <w:numPr>
          <w:ilvl w:val="0"/>
          <w:numId w:val="9"/>
        </w:numPr>
        <w:spacing w:before="120" w:after="120"/>
      </w:pPr>
      <w:r>
        <w:t>Vysoké obrubníky na začátku a konci stezek pro cyklisty, překonávání komunikací s vysokou intenzitou dopravy a bezohlednost jednotlivých skupin účastníků provozu vůči druhým.</w:t>
      </w:r>
    </w:p>
    <w:p w:rsidR="006E0246" w:rsidRDefault="006E0246" w:rsidP="006E0246">
      <w:pPr>
        <w:numPr>
          <w:ilvl w:val="0"/>
          <w:numId w:val="9"/>
        </w:numPr>
        <w:spacing w:before="120" w:after="120"/>
      </w:pPr>
      <w:r>
        <w:t>K většímu využívání kol přispěje zřízení pruhů pro cyklisty podél frekventovaných komunikací a umožnění jízdy cyklistů v jednosměrných komunikacích (v protisměru).</w:t>
      </w:r>
    </w:p>
    <w:p w:rsidR="006E0246" w:rsidRDefault="006E0246" w:rsidP="006E0246">
      <w:pPr>
        <w:spacing w:before="120" w:after="120"/>
      </w:pPr>
    </w:p>
    <w:p w:rsidR="006E0246" w:rsidRDefault="006E0246" w:rsidP="006E0246">
      <w:pPr>
        <w:spacing w:before="120" w:after="120"/>
      </w:pPr>
    </w:p>
    <w:p w:rsidR="006E0246" w:rsidRDefault="006E0246" w:rsidP="006E0246">
      <w:pPr>
        <w:spacing w:before="120" w:after="120"/>
      </w:pPr>
    </w:p>
    <w:p w:rsidR="006E0246" w:rsidRDefault="006E0246" w:rsidP="006E0246">
      <w:pPr>
        <w:spacing w:before="120" w:after="120"/>
      </w:pPr>
    </w:p>
    <w:p w:rsidR="006E0246" w:rsidRDefault="006E0246" w:rsidP="006E0246">
      <w:pPr>
        <w:spacing w:before="120" w:after="120"/>
      </w:pPr>
    </w:p>
    <w:p w:rsidR="006E0246" w:rsidRDefault="006E0246" w:rsidP="006E0246">
      <w:pPr>
        <w:spacing w:before="120" w:after="120"/>
      </w:pPr>
    </w:p>
    <w:p w:rsidR="006E0246" w:rsidRDefault="006E0246" w:rsidP="006E0246">
      <w:pPr>
        <w:spacing w:before="120" w:after="120"/>
      </w:pPr>
    </w:p>
    <w:p w:rsidR="006E0246" w:rsidRDefault="006E0246" w:rsidP="006E0246">
      <w:pPr>
        <w:spacing w:before="120" w:after="120"/>
      </w:pPr>
    </w:p>
    <w:p w:rsidR="006E0246" w:rsidRDefault="006E0246" w:rsidP="006E0246">
      <w:pPr>
        <w:spacing w:before="120" w:after="120"/>
      </w:pPr>
    </w:p>
    <w:tbl>
      <w:tblPr>
        <w:tblW w:w="0" w:type="auto"/>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ook w:val="04A0" w:firstRow="1" w:lastRow="0" w:firstColumn="1" w:lastColumn="0" w:noHBand="0" w:noVBand="1"/>
      </w:tblPr>
      <w:tblGrid>
        <w:gridCol w:w="675"/>
        <w:gridCol w:w="4051"/>
        <w:gridCol w:w="627"/>
        <w:gridCol w:w="4099"/>
      </w:tblGrid>
      <w:tr w:rsidR="0094602B" w:rsidRPr="00253E29" w:rsidTr="00155DC6">
        <w:tc>
          <w:tcPr>
            <w:tcW w:w="9452" w:type="dxa"/>
            <w:gridSpan w:val="4"/>
            <w:tcBorders>
              <w:top w:val="single" w:sz="12" w:space="0" w:color="372C74"/>
              <w:left w:val="single" w:sz="12" w:space="0" w:color="372C74"/>
              <w:bottom w:val="single" w:sz="4" w:space="0" w:color="auto"/>
              <w:right w:val="single" w:sz="12" w:space="0" w:color="372C74"/>
              <w:tl2br w:val="nil"/>
              <w:tr2bl w:val="nil"/>
            </w:tcBorders>
            <w:shd w:val="clear" w:color="auto" w:fill="372C74"/>
            <w:vAlign w:val="center"/>
          </w:tcPr>
          <w:p w:rsidR="0094602B" w:rsidRPr="00053817" w:rsidRDefault="0094602B" w:rsidP="00155DC6">
            <w:pPr>
              <w:autoSpaceDE w:val="0"/>
              <w:autoSpaceDN w:val="0"/>
              <w:adjustRightInd w:val="0"/>
              <w:spacing w:before="0" w:after="0" w:line="240" w:lineRule="auto"/>
              <w:rPr>
                <w:b/>
                <w:lang w:bidi="ar-SA"/>
              </w:rPr>
            </w:pPr>
            <w:r w:rsidRPr="00053817">
              <w:rPr>
                <w:b/>
                <w:lang w:bidi="ar-SA"/>
              </w:rPr>
              <w:lastRenderedPageBreak/>
              <w:t>Shrnutí hlavních pozitivních a negativních charakteristik a očekávaných trendů v oblasti</w:t>
            </w:r>
          </w:p>
          <w:p w:rsidR="0094602B" w:rsidRPr="00053817" w:rsidRDefault="0094602B" w:rsidP="00155DC6">
            <w:pPr>
              <w:autoSpaceDE w:val="0"/>
              <w:autoSpaceDN w:val="0"/>
              <w:adjustRightInd w:val="0"/>
              <w:spacing w:before="0" w:after="0" w:line="240" w:lineRule="auto"/>
              <w:jc w:val="center"/>
              <w:rPr>
                <w:rFonts w:cs="Arial-ItalicMT"/>
                <w:b/>
                <w:iCs/>
                <w:szCs w:val="22"/>
              </w:rPr>
            </w:pPr>
            <w:r>
              <w:rPr>
                <w:b/>
                <w:lang w:bidi="ar-SA"/>
              </w:rPr>
              <w:t>Infrastruktura</w:t>
            </w:r>
          </w:p>
        </w:tc>
      </w:tr>
      <w:tr w:rsidR="0094602B" w:rsidRPr="00AC1ACA" w:rsidTr="00155DC6">
        <w:tc>
          <w:tcPr>
            <w:tcW w:w="675" w:type="dxa"/>
            <w:tcBorders>
              <w:top w:val="single" w:sz="4" w:space="0" w:color="auto"/>
              <w:left w:val="single" w:sz="4" w:space="0" w:color="auto"/>
              <w:bottom w:val="single" w:sz="4" w:space="0" w:color="auto"/>
              <w:right w:val="nil"/>
              <w:tl2br w:val="nil"/>
              <w:tr2bl w:val="nil"/>
            </w:tcBorders>
            <w:shd w:val="clear" w:color="auto" w:fill="DDE9EC"/>
            <w:vAlign w:val="center"/>
          </w:tcPr>
          <w:p w:rsidR="0094602B" w:rsidRPr="0023467C" w:rsidRDefault="0094602B" w:rsidP="00155DC6">
            <w:pPr>
              <w:autoSpaceDE w:val="0"/>
              <w:autoSpaceDN w:val="0"/>
              <w:adjustRightInd w:val="0"/>
              <w:spacing w:before="60" w:after="60" w:line="240" w:lineRule="auto"/>
              <w:jc w:val="center"/>
              <w:rPr>
                <w:rFonts w:ascii="Arial Black" w:hAnsi="Arial Black" w:cs="Arial-ItalicMT"/>
                <w:b/>
                <w:iCs/>
                <w:color w:val="00B050"/>
                <w:szCs w:val="22"/>
              </w:rPr>
            </w:pPr>
            <w:r w:rsidRPr="0023467C">
              <w:rPr>
                <w:rFonts w:ascii="Arial Black" w:hAnsi="Arial Black" w:cs="Arial-ItalicMT"/>
                <w:b/>
                <w:iCs/>
                <w:color w:val="00B050"/>
                <w:sz w:val="40"/>
                <w:szCs w:val="40"/>
              </w:rPr>
              <w:t>+</w:t>
            </w:r>
          </w:p>
        </w:tc>
        <w:tc>
          <w:tcPr>
            <w:tcW w:w="4051" w:type="dxa"/>
            <w:tcBorders>
              <w:top w:val="single" w:sz="4" w:space="0" w:color="auto"/>
              <w:left w:val="nil"/>
              <w:bottom w:val="single" w:sz="4" w:space="0" w:color="auto"/>
              <w:right w:val="single" w:sz="4" w:space="0" w:color="auto"/>
            </w:tcBorders>
            <w:shd w:val="clear" w:color="auto" w:fill="DDE9EC"/>
          </w:tcPr>
          <w:p w:rsidR="008E11FD" w:rsidRPr="00D06854" w:rsidRDefault="008E11FD" w:rsidP="008E11FD">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D06854">
              <w:rPr>
                <w:rFonts w:cs="Arial-ItalicMT"/>
                <w:iCs/>
                <w:szCs w:val="22"/>
              </w:rPr>
              <w:t>V centrální části města je takřka kompletně zajištěna vybavenost veškerou infrastrukturou</w:t>
            </w:r>
          </w:p>
          <w:p w:rsidR="008E11FD" w:rsidRPr="000F0642" w:rsidRDefault="008E11FD" w:rsidP="008E11FD">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0F0642">
              <w:rPr>
                <w:rFonts w:cs="Arial-ItalicMT"/>
                <w:iCs/>
                <w:szCs w:val="22"/>
              </w:rPr>
              <w:t xml:space="preserve">Rozvinutý systém centrálního zásobování teplem přispívající k lepší kvalitě ovzduší </w:t>
            </w:r>
          </w:p>
          <w:p w:rsidR="008E11FD" w:rsidRPr="008E11FD" w:rsidRDefault="008E11FD" w:rsidP="008E11FD">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8E11FD">
              <w:rPr>
                <w:rFonts w:cs="Arial-ItalicMT"/>
                <w:iCs/>
                <w:szCs w:val="22"/>
              </w:rPr>
              <w:t>Vybudovaný obchvat města, který odvedl hlavní dopravní proud mimo město</w:t>
            </w:r>
          </w:p>
          <w:p w:rsidR="008E11FD" w:rsidRPr="004D21B6" w:rsidRDefault="008E11FD" w:rsidP="008E11FD">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4D21B6">
              <w:rPr>
                <w:rFonts w:cs="Arial-ItalicMT"/>
                <w:iCs/>
                <w:szCs w:val="22"/>
              </w:rPr>
              <w:t>Vysoká četnost spojů VD do okolních měst (Karlovy Vary)</w:t>
            </w:r>
          </w:p>
          <w:p w:rsidR="008E11FD" w:rsidRPr="000F0642" w:rsidRDefault="008E11FD" w:rsidP="008E11FD">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6E0246">
              <w:rPr>
                <w:rFonts w:cs="Arial-ItalicMT"/>
                <w:iCs/>
                <w:szCs w:val="22"/>
              </w:rPr>
              <w:t>Bývalá železniční vlečka využita pro potřeby pě</w:t>
            </w:r>
            <w:r>
              <w:rPr>
                <w:rFonts w:cs="Arial-ItalicMT"/>
                <w:iCs/>
                <w:szCs w:val="22"/>
              </w:rPr>
              <w:t>ších a cyklistů</w:t>
            </w:r>
          </w:p>
          <w:p w:rsidR="0094602B" w:rsidRPr="00AC1ACA" w:rsidRDefault="008E11FD" w:rsidP="008E11FD">
            <w:pPr>
              <w:pStyle w:val="Odstavecseseznamem"/>
              <w:numPr>
                <w:ilvl w:val="0"/>
                <w:numId w:val="1"/>
              </w:numPr>
              <w:autoSpaceDE w:val="0"/>
              <w:autoSpaceDN w:val="0"/>
              <w:adjustRightInd w:val="0"/>
              <w:spacing w:before="60" w:after="60" w:line="240" w:lineRule="auto"/>
              <w:ind w:left="470" w:hanging="510"/>
              <w:jc w:val="left"/>
              <w:rPr>
                <w:rFonts w:asciiTheme="majorHAnsi" w:hAnsiTheme="majorHAnsi" w:cs="Arial-ItalicMT"/>
                <w:iCs/>
                <w:szCs w:val="22"/>
              </w:rPr>
            </w:pPr>
            <w:r w:rsidRPr="000F0642">
              <w:rPr>
                <w:rFonts w:cs="Arial-ItalicMT"/>
                <w:iCs/>
                <w:szCs w:val="22"/>
              </w:rPr>
              <w:t>Kabelová síť a metropolitní síť</w:t>
            </w:r>
          </w:p>
        </w:tc>
        <w:tc>
          <w:tcPr>
            <w:tcW w:w="627" w:type="dxa"/>
            <w:tcBorders>
              <w:top w:val="single" w:sz="4" w:space="0" w:color="auto"/>
              <w:left w:val="single" w:sz="4" w:space="0" w:color="auto"/>
              <w:bottom w:val="single" w:sz="4" w:space="0" w:color="auto"/>
              <w:right w:val="nil"/>
            </w:tcBorders>
            <w:shd w:val="clear" w:color="auto" w:fill="DDE9EC"/>
            <w:vAlign w:val="center"/>
          </w:tcPr>
          <w:p w:rsidR="0094602B" w:rsidRPr="0023467C" w:rsidRDefault="0094602B" w:rsidP="00155DC6">
            <w:pPr>
              <w:autoSpaceDE w:val="0"/>
              <w:autoSpaceDN w:val="0"/>
              <w:adjustRightInd w:val="0"/>
              <w:spacing w:before="60" w:after="60" w:line="240" w:lineRule="auto"/>
              <w:jc w:val="center"/>
              <w:rPr>
                <w:rFonts w:ascii="Arial Black" w:hAnsi="Arial Black" w:cs="Arial-ItalicMT"/>
                <w:iCs/>
                <w:color w:val="FF0000"/>
                <w:sz w:val="40"/>
                <w:szCs w:val="40"/>
              </w:rPr>
            </w:pPr>
            <w:r w:rsidRPr="0023467C">
              <w:rPr>
                <w:rFonts w:ascii="Arial Black" w:hAnsi="Arial Black" w:cs="Arial-ItalicMT"/>
                <w:b/>
                <w:iCs/>
                <w:color w:val="FF0000"/>
                <w:sz w:val="40"/>
                <w:szCs w:val="40"/>
              </w:rPr>
              <w:t>-</w:t>
            </w:r>
          </w:p>
        </w:tc>
        <w:tc>
          <w:tcPr>
            <w:tcW w:w="4099" w:type="dxa"/>
            <w:tcBorders>
              <w:top w:val="single" w:sz="4" w:space="0" w:color="auto"/>
              <w:left w:val="nil"/>
              <w:bottom w:val="single" w:sz="4" w:space="0" w:color="auto"/>
              <w:right w:val="single" w:sz="4" w:space="0" w:color="auto"/>
            </w:tcBorders>
            <w:shd w:val="clear" w:color="auto" w:fill="DDE9EC"/>
          </w:tcPr>
          <w:p w:rsidR="0094602B" w:rsidRPr="0049495C" w:rsidRDefault="00B9565D" w:rsidP="006164A0">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b/>
                <w:iCs/>
                <w:szCs w:val="22"/>
              </w:rPr>
            </w:pPr>
            <w:r>
              <w:rPr>
                <w:rFonts w:cs="Arial-ItalicMT"/>
                <w:iCs/>
                <w:szCs w:val="22"/>
              </w:rPr>
              <w:t>Potřeba postupného rozšiřování infrastruktury do vzdálenějších částí města a průběžná rekonstrukce.</w:t>
            </w:r>
            <w:r w:rsidR="00A245CE" w:rsidRPr="00136511">
              <w:rPr>
                <w:rFonts w:asciiTheme="majorHAnsi" w:hAnsiTheme="majorHAnsi" w:cs="Arial-ItalicMT"/>
                <w:iCs/>
                <w:szCs w:val="22"/>
              </w:rPr>
              <w:t xml:space="preserve"> </w:t>
            </w:r>
            <w:r w:rsidR="00A245CE">
              <w:rPr>
                <w:rFonts w:asciiTheme="majorHAnsi" w:hAnsiTheme="majorHAnsi" w:cs="Arial-ItalicMT"/>
                <w:iCs/>
                <w:szCs w:val="22"/>
              </w:rPr>
              <w:t xml:space="preserve"> </w:t>
            </w:r>
          </w:p>
          <w:p w:rsidR="0049495C" w:rsidRPr="0049495C" w:rsidRDefault="0049495C" w:rsidP="0049495C">
            <w:pPr>
              <w:pStyle w:val="Odstavecseseznamem"/>
              <w:numPr>
                <w:ilvl w:val="0"/>
                <w:numId w:val="2"/>
              </w:numPr>
              <w:autoSpaceDE w:val="0"/>
              <w:autoSpaceDN w:val="0"/>
              <w:adjustRightInd w:val="0"/>
              <w:spacing w:before="60" w:after="60" w:line="240" w:lineRule="auto"/>
              <w:ind w:left="317" w:hanging="425"/>
              <w:jc w:val="left"/>
              <w:rPr>
                <w:rFonts w:cs="Arial-ItalicMT"/>
                <w:iCs/>
                <w:szCs w:val="22"/>
              </w:rPr>
            </w:pPr>
            <w:r w:rsidRPr="0049495C">
              <w:rPr>
                <w:rFonts w:cs="Arial-ItalicMT"/>
                <w:iCs/>
                <w:szCs w:val="22"/>
              </w:rPr>
              <w:t>Riziko odpojování objektů z CZT</w:t>
            </w:r>
          </w:p>
          <w:p w:rsidR="0049495C" w:rsidRPr="006E0246" w:rsidRDefault="0049495C" w:rsidP="0049495C">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b/>
                <w:iCs/>
                <w:szCs w:val="22"/>
              </w:rPr>
            </w:pPr>
            <w:r w:rsidRPr="0049495C">
              <w:rPr>
                <w:rFonts w:cs="Arial-ItalicMT"/>
                <w:iCs/>
                <w:szCs w:val="22"/>
              </w:rPr>
              <w:t>Nedostatečná kapacita rozvodny Kfely v případě připojení velkého odběratele – omezení pro rozvoj města.</w:t>
            </w:r>
          </w:p>
          <w:p w:rsidR="006E0246" w:rsidRPr="006E0246" w:rsidRDefault="006E0246" w:rsidP="006E0246">
            <w:pPr>
              <w:pStyle w:val="Odstavecseseznamem"/>
              <w:numPr>
                <w:ilvl w:val="0"/>
                <w:numId w:val="2"/>
              </w:numPr>
              <w:autoSpaceDE w:val="0"/>
              <w:autoSpaceDN w:val="0"/>
              <w:adjustRightInd w:val="0"/>
              <w:spacing w:before="60" w:after="60" w:line="240" w:lineRule="auto"/>
              <w:ind w:left="317" w:hanging="425"/>
              <w:jc w:val="left"/>
              <w:rPr>
                <w:rFonts w:cs="Arial-ItalicMT"/>
                <w:iCs/>
                <w:szCs w:val="22"/>
              </w:rPr>
            </w:pPr>
            <w:r w:rsidRPr="006E0246">
              <w:rPr>
                <w:rFonts w:cs="Arial-ItalicMT"/>
                <w:iCs/>
                <w:szCs w:val="22"/>
              </w:rPr>
              <w:t>Chybí propojení ulic ve východní části města Vyšší intenzita dopravy na ul. Jáchymovská</w:t>
            </w:r>
          </w:p>
          <w:p w:rsidR="006E0246" w:rsidRPr="00805313" w:rsidRDefault="006E0246" w:rsidP="00EF3412">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b/>
                <w:iCs/>
                <w:szCs w:val="22"/>
              </w:rPr>
            </w:pPr>
            <w:r w:rsidRPr="006E0246">
              <w:rPr>
                <w:rFonts w:cs="Arial-ItalicMT"/>
                <w:iCs/>
                <w:szCs w:val="22"/>
              </w:rPr>
              <w:t>Zvyšující se potřeba parkovacích míst je v kolizi se zájmem na zachování veřejné zeleně.</w:t>
            </w:r>
          </w:p>
          <w:p w:rsidR="00805313" w:rsidRPr="00AC1ACA" w:rsidRDefault="00805313" w:rsidP="00EF3412">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b/>
                <w:iCs/>
                <w:szCs w:val="22"/>
              </w:rPr>
            </w:pPr>
            <w:r>
              <w:rPr>
                <w:rFonts w:cs="Arial-ItalicMT"/>
                <w:iCs/>
                <w:szCs w:val="22"/>
              </w:rPr>
              <w:t>Občasné stížnosti na kvalitu vody v severní části města.</w:t>
            </w:r>
          </w:p>
        </w:tc>
      </w:tr>
      <w:tr w:rsidR="0094602B" w:rsidRPr="00F31A46" w:rsidTr="00155DC6">
        <w:tc>
          <w:tcPr>
            <w:tcW w:w="9452" w:type="dxa"/>
            <w:gridSpan w:val="4"/>
            <w:tcBorders>
              <w:top w:val="nil"/>
              <w:left w:val="single" w:sz="4" w:space="0" w:color="auto"/>
              <w:bottom w:val="single" w:sz="4" w:space="0" w:color="auto"/>
              <w:right w:val="single" w:sz="4" w:space="0" w:color="auto"/>
              <w:tl2br w:val="nil"/>
              <w:tr2bl w:val="nil"/>
            </w:tcBorders>
            <w:shd w:val="clear" w:color="auto" w:fill="DDE9EC"/>
            <w:vAlign w:val="center"/>
          </w:tcPr>
          <w:p w:rsidR="0094602B" w:rsidRPr="00F31A46" w:rsidRDefault="0094602B" w:rsidP="00155DC6">
            <w:pPr>
              <w:autoSpaceDE w:val="0"/>
              <w:autoSpaceDN w:val="0"/>
              <w:adjustRightInd w:val="0"/>
              <w:spacing w:before="60" w:after="60" w:line="240" w:lineRule="auto"/>
              <w:rPr>
                <w:rFonts w:asciiTheme="majorHAnsi" w:hAnsiTheme="majorHAnsi" w:cs="Arial-ItalicMT"/>
                <w:iCs/>
                <w:color w:val="372C74"/>
                <w:szCs w:val="22"/>
              </w:rPr>
            </w:pPr>
            <w:r w:rsidRPr="00F31A46">
              <w:rPr>
                <w:rFonts w:asciiTheme="majorHAnsi" w:hAnsiTheme="majorHAnsi" w:cs="Arial-ItalicMT"/>
                <w:iCs/>
                <w:color w:val="372C74"/>
                <w:szCs w:val="22"/>
              </w:rPr>
              <w:t>Komentář:</w:t>
            </w:r>
          </w:p>
          <w:p w:rsidR="008E11FD" w:rsidRDefault="008E11FD" w:rsidP="008E11FD">
            <w:pPr>
              <w:autoSpaceDE w:val="0"/>
              <w:autoSpaceDN w:val="0"/>
              <w:adjustRightInd w:val="0"/>
              <w:spacing w:before="60" w:after="60" w:line="240" w:lineRule="auto"/>
              <w:rPr>
                <w:rFonts w:cs="Arial-ItalicMT"/>
                <w:iCs/>
                <w:color w:val="372C74"/>
                <w:szCs w:val="22"/>
              </w:rPr>
            </w:pPr>
            <w:r>
              <w:rPr>
                <w:rFonts w:cs="Arial-ItalicMT"/>
                <w:iCs/>
                <w:color w:val="372C74"/>
                <w:szCs w:val="22"/>
              </w:rPr>
              <w:t>Technická infrastruktura ve městě, tj. především v jeho centrální části, je zajištěna dostatečně. Vodovodní síť je průběžně udržována, kanalizační síť je postupně rozšiřována do okrajovějších částí města. Většina objektů v centrální části města je napojena na systém CZT, který umožňuje své další rozšiřování. Rizikem může být naopak odpojování ze systému CZT nebo nepřipojování nových odběratelů, tam kde je to možné. U velké části objektů města byly realizovány úspory el. energie.</w:t>
            </w:r>
          </w:p>
          <w:p w:rsidR="008E11FD" w:rsidRDefault="008E11FD" w:rsidP="008E11FD">
            <w:pPr>
              <w:autoSpaceDE w:val="0"/>
              <w:autoSpaceDN w:val="0"/>
              <w:adjustRightInd w:val="0"/>
              <w:spacing w:before="60" w:after="60" w:line="240" w:lineRule="auto"/>
              <w:rPr>
                <w:rFonts w:cs="Arial-ItalicMT"/>
                <w:iCs/>
                <w:color w:val="372C74"/>
                <w:szCs w:val="22"/>
              </w:rPr>
            </w:pPr>
            <w:r>
              <w:rPr>
                <w:rFonts w:cs="Arial-ItalicMT"/>
                <w:iCs/>
                <w:color w:val="372C74"/>
                <w:szCs w:val="22"/>
              </w:rPr>
              <w:t>Rizikem je také kapacita rozvodny elektrické energie ve Kfelích, kde hrozí v případě napojení nového významnějšího odběratele naplnění kapacity a tím i následné omezení možností rozvoje města.</w:t>
            </w:r>
          </w:p>
          <w:p w:rsidR="008E11FD" w:rsidRDefault="008E11FD" w:rsidP="008E11FD">
            <w:pPr>
              <w:autoSpaceDE w:val="0"/>
              <w:autoSpaceDN w:val="0"/>
              <w:adjustRightInd w:val="0"/>
              <w:spacing w:before="60" w:after="60" w:line="240" w:lineRule="auto"/>
              <w:rPr>
                <w:rFonts w:cs="Arial-ItalicMT"/>
                <w:iCs/>
                <w:color w:val="372C74"/>
                <w:szCs w:val="22"/>
              </w:rPr>
            </w:pPr>
            <w:r>
              <w:rPr>
                <w:rFonts w:cs="Arial-ItalicMT"/>
                <w:iCs/>
                <w:color w:val="372C74"/>
                <w:szCs w:val="22"/>
              </w:rPr>
              <w:t>Potenciál do budoucna má rozvoj chytrých technologií. Město proto plánuje modernizaci optické sítě pro zajištění lepších služeb.</w:t>
            </w:r>
          </w:p>
          <w:p w:rsidR="00BC09B6" w:rsidRPr="00F31A46" w:rsidRDefault="008E11FD" w:rsidP="008E11FD">
            <w:pPr>
              <w:autoSpaceDE w:val="0"/>
              <w:autoSpaceDN w:val="0"/>
              <w:adjustRightInd w:val="0"/>
              <w:spacing w:before="60" w:after="60" w:line="240" w:lineRule="auto"/>
              <w:rPr>
                <w:rFonts w:asciiTheme="majorHAnsi" w:hAnsiTheme="majorHAnsi" w:cs="Arial-ItalicMT"/>
                <w:iCs/>
                <w:color w:val="372C74"/>
                <w:szCs w:val="22"/>
              </w:rPr>
            </w:pPr>
            <w:r w:rsidRPr="000E1A02">
              <w:rPr>
                <w:rFonts w:cs="Arial-ItalicMT"/>
                <w:iCs/>
                <w:color w:val="372C74"/>
                <w:szCs w:val="22"/>
              </w:rPr>
              <w:t>Část dopravních problémů vyřešila realizace obchvatu. Významným tématem je zklidňování dopravy na některých zatíženějších komunikacích a bezpečnost dopravy – např. oddělování cyklistické a pěší dopravy od automobilové. Vysokým zájmem města je rovněž dořešení dopravní situace ve východní části města, tj. propojení komunikací U nemocnice, Hlavní a Lidická.</w:t>
            </w:r>
          </w:p>
        </w:tc>
      </w:tr>
    </w:tbl>
    <w:p w:rsidR="00C00CB0" w:rsidRDefault="00C00CB0">
      <w:pPr>
        <w:spacing w:before="0" w:after="0" w:line="240" w:lineRule="auto"/>
        <w:jc w:val="left"/>
        <w:rPr>
          <w:color w:val="1B1639"/>
          <w:spacing w:val="15"/>
          <w:sz w:val="24"/>
          <w:szCs w:val="22"/>
        </w:rPr>
      </w:pPr>
    </w:p>
    <w:p w:rsidR="00F03C55" w:rsidRDefault="00F03C55">
      <w:pPr>
        <w:spacing w:before="0" w:after="0" w:line="240" w:lineRule="auto"/>
        <w:jc w:val="left"/>
        <w:rPr>
          <w:color w:val="1B1639"/>
          <w:spacing w:val="15"/>
          <w:sz w:val="24"/>
          <w:szCs w:val="22"/>
        </w:rPr>
      </w:pPr>
      <w:r>
        <w:br w:type="page"/>
      </w:r>
    </w:p>
    <w:p w:rsidR="00001931" w:rsidRDefault="009F5528" w:rsidP="00001931">
      <w:pPr>
        <w:pStyle w:val="Nadpis3"/>
        <w:spacing w:line="240" w:lineRule="auto"/>
      </w:pPr>
      <w:bookmarkStart w:id="86" w:name="_Toc516058320"/>
      <w:r>
        <w:lastRenderedPageBreak/>
        <w:t>P</w:t>
      </w:r>
      <w:r w:rsidR="00001931">
        <w:t>.1.5</w:t>
      </w:r>
      <w:r w:rsidR="00001931" w:rsidRPr="005F0699">
        <w:t xml:space="preserve"> </w:t>
      </w:r>
      <w:r w:rsidR="00001931">
        <w:t>Vybavenost</w:t>
      </w:r>
      <w:bookmarkEnd w:id="86"/>
    </w:p>
    <w:p w:rsidR="00001931" w:rsidRDefault="00001931" w:rsidP="00001931"/>
    <w:p w:rsidR="00D70FC9" w:rsidRDefault="00D70FC9" w:rsidP="00001931">
      <w:r w:rsidRPr="00A61B9F">
        <w:t xml:space="preserve">Pro kapitolu </w:t>
      </w:r>
      <w:r>
        <w:t>Vybavenost</w:t>
      </w:r>
      <w:r w:rsidRPr="00A61B9F">
        <w:t xml:space="preserve"> bylo </w:t>
      </w:r>
      <w:r>
        <w:t xml:space="preserve">částečně </w:t>
      </w:r>
      <w:r w:rsidRPr="00A61B9F">
        <w:t>převzato znění z Aktualizace vybraných ukazatelů Analýzy prostředí SPRMO z června 2015.</w:t>
      </w:r>
    </w:p>
    <w:p w:rsidR="00001931" w:rsidRPr="00FB73DB" w:rsidRDefault="00001931" w:rsidP="00001931">
      <w:pPr>
        <w:pStyle w:val="Nadpis4"/>
        <w:pBdr>
          <w:top w:val="none" w:sz="0" w:space="0" w:color="auto"/>
          <w:left w:val="none" w:sz="0" w:space="0" w:color="auto"/>
        </w:pBdr>
        <w:shd w:val="clear" w:color="auto" w:fill="372C74"/>
        <w:spacing w:before="0" w:after="200"/>
        <w:ind w:firstLine="0"/>
        <w:rPr>
          <w:color w:val="auto"/>
          <w:spacing w:val="4"/>
          <w:szCs w:val="24"/>
        </w:rPr>
      </w:pPr>
      <w:bookmarkStart w:id="87" w:name="_Toc516058321"/>
      <w:r w:rsidRPr="00FB73DB">
        <w:rPr>
          <w:color w:val="auto"/>
          <w:spacing w:val="4"/>
          <w:szCs w:val="24"/>
        </w:rPr>
        <w:t>I. Bydlení</w:t>
      </w:r>
      <w:bookmarkEnd w:id="87"/>
      <w:r w:rsidRPr="00FB73DB">
        <w:rPr>
          <w:color w:val="auto"/>
          <w:spacing w:val="4"/>
          <w:szCs w:val="24"/>
        </w:rPr>
        <w:t xml:space="preserve"> </w:t>
      </w:r>
    </w:p>
    <w:p w:rsidR="00F63623" w:rsidRPr="00A245CE" w:rsidRDefault="00F63623" w:rsidP="00F63623">
      <w:pPr>
        <w:pStyle w:val="Nadpis6"/>
        <w:rPr>
          <w:rFonts w:asciiTheme="majorHAnsi" w:hAnsiTheme="majorHAnsi"/>
        </w:rPr>
      </w:pPr>
      <w:r w:rsidRPr="00A245CE">
        <w:rPr>
          <w:rFonts w:asciiTheme="majorHAnsi" w:hAnsiTheme="majorHAnsi"/>
        </w:rPr>
        <w:t>Domy</w:t>
      </w:r>
    </w:p>
    <w:p w:rsidR="00F63623" w:rsidRDefault="00F63623" w:rsidP="00A61B9F">
      <w:pPr>
        <w:spacing w:before="0" w:after="120"/>
        <w:rPr>
          <w:rFonts w:asciiTheme="minorHAnsi" w:hAnsiTheme="minorHAnsi" w:cs="Arial-ItalicMT"/>
          <w:b/>
          <w:bCs/>
          <w:iCs/>
          <w:color w:val="372C74"/>
          <w:spacing w:val="10"/>
          <w:sz w:val="18"/>
          <w:szCs w:val="22"/>
        </w:rPr>
      </w:pPr>
    </w:p>
    <w:p w:rsidR="00A61B9F" w:rsidRPr="003743FF" w:rsidRDefault="00A61B9F" w:rsidP="00A61B9F">
      <w:pPr>
        <w:spacing w:before="0" w:after="120"/>
        <w:rPr>
          <w:rFonts w:asciiTheme="majorHAnsi" w:hAnsiTheme="majorHAnsi"/>
        </w:rPr>
      </w:pPr>
      <w:bookmarkStart w:id="88" w:name="_Toc516059030"/>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21</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sidRPr="00A61B9F">
        <w:rPr>
          <w:rFonts w:cs="Arial-ItalicMT"/>
          <w:iCs/>
          <w:sz w:val="18"/>
          <w:szCs w:val="18"/>
        </w:rPr>
        <w:t>Trvale obydlené domy (SLBD 1991, 2001, 2011)</w:t>
      </w:r>
      <w:bookmarkEnd w:id="88"/>
    </w:p>
    <w:tbl>
      <w:tblPr>
        <w:tblW w:w="9464" w:type="dxa"/>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ayout w:type="fixed"/>
        <w:tblLook w:val="04A0" w:firstRow="1" w:lastRow="0" w:firstColumn="1" w:lastColumn="0" w:noHBand="0" w:noVBand="1"/>
      </w:tblPr>
      <w:tblGrid>
        <w:gridCol w:w="250"/>
        <w:gridCol w:w="1151"/>
        <w:gridCol w:w="1152"/>
        <w:gridCol w:w="1152"/>
        <w:gridCol w:w="798"/>
        <w:gridCol w:w="354"/>
        <w:gridCol w:w="354"/>
        <w:gridCol w:w="797"/>
        <w:gridCol w:w="1152"/>
        <w:gridCol w:w="886"/>
        <w:gridCol w:w="266"/>
        <w:gridCol w:w="18"/>
        <w:gridCol w:w="1134"/>
      </w:tblGrid>
      <w:tr w:rsidR="00A61B9F" w:rsidRPr="002A3674" w:rsidTr="002A3674">
        <w:trPr>
          <w:tblHeader/>
        </w:trPr>
        <w:tc>
          <w:tcPr>
            <w:tcW w:w="250" w:type="dxa"/>
            <w:tcBorders>
              <w:top w:val="nil"/>
              <w:left w:val="nil"/>
              <w:bottom w:val="nil"/>
              <w:right w:val="nil"/>
              <w:tl2br w:val="nil"/>
              <w:tr2bl w:val="nil"/>
            </w:tcBorders>
            <w:shd w:val="clear" w:color="auto" w:fill="auto"/>
            <w:vAlign w:val="center"/>
          </w:tcPr>
          <w:p w:rsidR="00A61B9F" w:rsidRPr="002A3674" w:rsidRDefault="00A61B9F" w:rsidP="002A3674">
            <w:pPr>
              <w:spacing w:before="0" w:after="0" w:line="240" w:lineRule="auto"/>
              <w:jc w:val="center"/>
              <w:rPr>
                <w:b/>
                <w:sz w:val="16"/>
                <w:szCs w:val="16"/>
              </w:rPr>
            </w:pPr>
          </w:p>
        </w:tc>
        <w:tc>
          <w:tcPr>
            <w:tcW w:w="4253" w:type="dxa"/>
            <w:gridSpan w:val="4"/>
            <w:tcBorders>
              <w:top w:val="single" w:sz="12" w:space="0" w:color="372C74"/>
              <w:left w:val="nil"/>
              <w:bottom w:val="single" w:sz="12" w:space="0" w:color="FFFFFF"/>
              <w:right w:val="nil"/>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Trvale obydlené domy</w:t>
            </w:r>
          </w:p>
        </w:tc>
        <w:tc>
          <w:tcPr>
            <w:tcW w:w="708" w:type="dxa"/>
            <w:gridSpan w:val="2"/>
            <w:tcBorders>
              <w:top w:val="single" w:sz="12" w:space="0" w:color="372C74"/>
              <w:left w:val="nil"/>
              <w:bottom w:val="single" w:sz="12" w:space="0" w:color="FFFFFF"/>
              <w:right w:val="nil"/>
              <w:tl2br w:val="nil"/>
              <w:tr2bl w:val="nil"/>
            </w:tcBorders>
            <w:shd w:val="clear" w:color="auto" w:fill="372C74"/>
            <w:vAlign w:val="center"/>
          </w:tcPr>
          <w:p w:rsidR="00A61B9F" w:rsidRPr="002A3674" w:rsidRDefault="00A61B9F" w:rsidP="002A3674">
            <w:pPr>
              <w:spacing w:before="0" w:after="0" w:line="240" w:lineRule="auto"/>
              <w:jc w:val="center"/>
              <w:rPr>
                <w:b/>
                <w:sz w:val="16"/>
                <w:szCs w:val="16"/>
              </w:rPr>
            </w:pPr>
          </w:p>
        </w:tc>
        <w:tc>
          <w:tcPr>
            <w:tcW w:w="2835" w:type="dxa"/>
            <w:gridSpan w:val="3"/>
            <w:tcBorders>
              <w:top w:val="single" w:sz="12" w:space="0" w:color="372C74"/>
              <w:left w:val="nil"/>
              <w:bottom w:val="single" w:sz="12" w:space="0" w:color="FFFFFF"/>
              <w:right w:val="nil"/>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Z toho RD</w:t>
            </w:r>
            <w:r w:rsidR="00A61B9F" w:rsidRPr="002A3674">
              <w:rPr>
                <w:b/>
                <w:sz w:val="16"/>
                <w:szCs w:val="16"/>
              </w:rPr>
              <w:t xml:space="preserve"> </w:t>
            </w:r>
          </w:p>
        </w:tc>
        <w:tc>
          <w:tcPr>
            <w:tcW w:w="284" w:type="dxa"/>
            <w:gridSpan w:val="2"/>
            <w:tcBorders>
              <w:top w:val="single" w:sz="12" w:space="0" w:color="372C74"/>
              <w:left w:val="nil"/>
              <w:bottom w:val="single" w:sz="12" w:space="0" w:color="FFFFFF"/>
              <w:right w:val="nil"/>
              <w:tl2br w:val="nil"/>
              <w:tr2bl w:val="nil"/>
            </w:tcBorders>
            <w:shd w:val="clear" w:color="auto" w:fill="372C74"/>
            <w:vAlign w:val="center"/>
          </w:tcPr>
          <w:p w:rsidR="00A61B9F" w:rsidRPr="002A3674" w:rsidRDefault="00A61B9F" w:rsidP="002A3674">
            <w:pPr>
              <w:spacing w:before="0" w:after="0" w:line="240" w:lineRule="auto"/>
              <w:jc w:val="center"/>
              <w:rPr>
                <w:b/>
                <w:sz w:val="16"/>
                <w:szCs w:val="16"/>
              </w:rPr>
            </w:pPr>
          </w:p>
        </w:tc>
        <w:tc>
          <w:tcPr>
            <w:tcW w:w="1134" w:type="dxa"/>
            <w:tcBorders>
              <w:top w:val="single" w:sz="12" w:space="0" w:color="372C74"/>
              <w:left w:val="nil"/>
              <w:bottom w:val="single" w:sz="12" w:space="0" w:color="FFFFFF"/>
              <w:right w:val="single" w:sz="12" w:space="0" w:color="372C74"/>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Neobydlené</w:t>
            </w:r>
          </w:p>
        </w:tc>
      </w:tr>
      <w:tr w:rsidR="00A61B9F" w:rsidRPr="002A3674" w:rsidTr="00A61B9F">
        <w:trPr>
          <w:trHeight w:val="492"/>
          <w:tblHeader/>
        </w:trPr>
        <w:tc>
          <w:tcPr>
            <w:tcW w:w="250" w:type="dxa"/>
            <w:tcBorders>
              <w:top w:val="nil"/>
              <w:left w:val="nil"/>
              <w:bottom w:val="nil"/>
              <w:right w:val="single" w:sz="12" w:space="0" w:color="282156" w:themeColor="accent1" w:themeShade="BF"/>
              <w:tl2br w:val="nil"/>
              <w:tr2bl w:val="nil"/>
            </w:tcBorders>
            <w:shd w:val="clear" w:color="auto" w:fill="auto"/>
            <w:vAlign w:val="center"/>
          </w:tcPr>
          <w:p w:rsidR="00A61B9F" w:rsidRPr="002A3674" w:rsidRDefault="00A61B9F" w:rsidP="002A3674">
            <w:pPr>
              <w:spacing w:before="0" w:after="0" w:line="240" w:lineRule="auto"/>
              <w:jc w:val="center"/>
              <w:rPr>
                <w:b/>
                <w:sz w:val="16"/>
                <w:szCs w:val="16"/>
              </w:rPr>
            </w:pPr>
          </w:p>
        </w:tc>
        <w:tc>
          <w:tcPr>
            <w:tcW w:w="1151" w:type="dxa"/>
            <w:tcBorders>
              <w:top w:val="single" w:sz="12" w:space="0" w:color="FFFFFF"/>
              <w:left w:val="single" w:sz="12" w:space="0" w:color="282156" w:themeColor="accent1" w:themeShade="BF"/>
              <w:bottom w:val="single" w:sz="12" w:space="0" w:color="FFFFFF"/>
              <w:right w:val="nil"/>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1991</w:t>
            </w:r>
          </w:p>
        </w:tc>
        <w:tc>
          <w:tcPr>
            <w:tcW w:w="1152" w:type="dxa"/>
            <w:tcBorders>
              <w:top w:val="single" w:sz="12" w:space="0" w:color="FFFFFF"/>
              <w:left w:val="nil"/>
              <w:bottom w:val="single" w:sz="12" w:space="0" w:color="FFFFFF"/>
              <w:right w:val="nil"/>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2001</w:t>
            </w:r>
          </w:p>
        </w:tc>
        <w:tc>
          <w:tcPr>
            <w:tcW w:w="1152" w:type="dxa"/>
            <w:tcBorders>
              <w:top w:val="single" w:sz="12" w:space="0" w:color="FFFFFF"/>
              <w:left w:val="nil"/>
              <w:bottom w:val="single" w:sz="12" w:space="0" w:color="FFFFFF"/>
              <w:right w:val="nil"/>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2011</w:t>
            </w:r>
          </w:p>
        </w:tc>
        <w:tc>
          <w:tcPr>
            <w:tcW w:w="1152" w:type="dxa"/>
            <w:gridSpan w:val="2"/>
            <w:tcBorders>
              <w:top w:val="single" w:sz="12" w:space="0" w:color="FFFFFF"/>
              <w:left w:val="nil"/>
              <w:bottom w:val="single" w:sz="12" w:space="0" w:color="FFFFFF"/>
              <w:right w:val="nil"/>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Přírůstek/ úbytek</w:t>
            </w:r>
          </w:p>
        </w:tc>
        <w:tc>
          <w:tcPr>
            <w:tcW w:w="1151" w:type="dxa"/>
            <w:gridSpan w:val="2"/>
            <w:tcBorders>
              <w:top w:val="single" w:sz="12" w:space="0" w:color="FFFFFF"/>
              <w:left w:val="nil"/>
              <w:bottom w:val="single" w:sz="12" w:space="0" w:color="FFFFFF"/>
              <w:right w:val="nil"/>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2001</w:t>
            </w:r>
          </w:p>
        </w:tc>
        <w:tc>
          <w:tcPr>
            <w:tcW w:w="1152" w:type="dxa"/>
            <w:tcBorders>
              <w:top w:val="single" w:sz="12" w:space="0" w:color="FFFFFF"/>
              <w:left w:val="nil"/>
              <w:bottom w:val="single" w:sz="12" w:space="0" w:color="FFFFFF"/>
              <w:right w:val="nil"/>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2011</w:t>
            </w:r>
          </w:p>
        </w:tc>
        <w:tc>
          <w:tcPr>
            <w:tcW w:w="1152" w:type="dxa"/>
            <w:gridSpan w:val="2"/>
            <w:tcBorders>
              <w:top w:val="single" w:sz="12" w:space="0" w:color="FFFFFF"/>
              <w:left w:val="nil"/>
              <w:bottom w:val="single" w:sz="12" w:space="0" w:color="FFFFFF"/>
              <w:right w:val="nil"/>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V %</w:t>
            </w:r>
          </w:p>
        </w:tc>
        <w:tc>
          <w:tcPr>
            <w:tcW w:w="1152" w:type="dxa"/>
            <w:gridSpan w:val="2"/>
            <w:tcBorders>
              <w:top w:val="single" w:sz="12" w:space="0" w:color="FFFFFF"/>
              <w:left w:val="nil"/>
              <w:bottom w:val="single" w:sz="12" w:space="0" w:color="FFFFFF"/>
              <w:right w:val="single" w:sz="12" w:space="0" w:color="372C74"/>
              <w:tl2br w:val="nil"/>
              <w:tr2bl w:val="nil"/>
            </w:tcBorders>
            <w:shd w:val="clear" w:color="auto" w:fill="372C74"/>
            <w:vAlign w:val="center"/>
          </w:tcPr>
          <w:p w:rsidR="00A61B9F" w:rsidRPr="002A3674" w:rsidRDefault="002A3674" w:rsidP="002A3674">
            <w:pPr>
              <w:spacing w:before="0" w:after="0" w:line="240" w:lineRule="auto"/>
              <w:jc w:val="center"/>
              <w:rPr>
                <w:b/>
                <w:sz w:val="16"/>
                <w:szCs w:val="16"/>
              </w:rPr>
            </w:pPr>
            <w:r w:rsidRPr="002A3674">
              <w:rPr>
                <w:b/>
                <w:sz w:val="16"/>
                <w:szCs w:val="16"/>
              </w:rPr>
              <w:t>2011</w:t>
            </w:r>
          </w:p>
        </w:tc>
      </w:tr>
      <w:tr w:rsidR="00A61B9F" w:rsidRPr="002A3674" w:rsidTr="00A61B9F">
        <w:tc>
          <w:tcPr>
            <w:tcW w:w="250" w:type="dxa"/>
            <w:tcBorders>
              <w:top w:val="nil"/>
              <w:left w:val="nil"/>
              <w:bottom w:val="nil"/>
              <w:right w:val="single" w:sz="12" w:space="0" w:color="282156" w:themeColor="accent1" w:themeShade="BF"/>
              <w:tl2br w:val="nil"/>
              <w:tr2bl w:val="nil"/>
            </w:tcBorders>
            <w:shd w:val="clear" w:color="auto" w:fill="auto"/>
            <w:vAlign w:val="center"/>
          </w:tcPr>
          <w:p w:rsidR="00A61B9F" w:rsidRPr="002A3674" w:rsidRDefault="00A61B9F" w:rsidP="002A3674">
            <w:pPr>
              <w:spacing w:before="0" w:after="0" w:line="240" w:lineRule="auto"/>
              <w:ind w:firstLineChars="100" w:firstLine="184"/>
              <w:rPr>
                <w:rFonts w:cs="Arial"/>
                <w:sz w:val="18"/>
                <w:szCs w:val="18"/>
              </w:rPr>
            </w:pPr>
          </w:p>
        </w:tc>
        <w:tc>
          <w:tcPr>
            <w:tcW w:w="1151" w:type="dxa"/>
            <w:tcBorders>
              <w:left w:val="single" w:sz="12" w:space="0" w:color="282156" w:themeColor="accent1" w:themeShade="BF"/>
            </w:tcBorders>
            <w:shd w:val="clear" w:color="auto" w:fill="auto"/>
            <w:vAlign w:val="center"/>
          </w:tcPr>
          <w:p w:rsidR="00A61B9F" w:rsidRPr="002A3674" w:rsidRDefault="002A3674" w:rsidP="002A3674">
            <w:pPr>
              <w:spacing w:before="0" w:after="0" w:line="240" w:lineRule="auto"/>
              <w:jc w:val="center"/>
              <w:rPr>
                <w:rFonts w:cs="Arial"/>
                <w:sz w:val="18"/>
                <w:szCs w:val="18"/>
              </w:rPr>
            </w:pPr>
            <w:r w:rsidRPr="002A3674">
              <w:rPr>
                <w:rFonts w:cs="Arial"/>
                <w:sz w:val="18"/>
                <w:szCs w:val="18"/>
              </w:rPr>
              <w:t>1</w:t>
            </w:r>
            <w:r>
              <w:rPr>
                <w:rFonts w:cs="Arial"/>
                <w:sz w:val="18"/>
                <w:szCs w:val="18"/>
              </w:rPr>
              <w:t xml:space="preserve"> </w:t>
            </w:r>
            <w:r w:rsidRPr="002A3674">
              <w:rPr>
                <w:rFonts w:cs="Arial"/>
                <w:sz w:val="18"/>
                <w:szCs w:val="18"/>
              </w:rPr>
              <w:t>249</w:t>
            </w:r>
          </w:p>
        </w:tc>
        <w:tc>
          <w:tcPr>
            <w:tcW w:w="1152" w:type="dxa"/>
            <w:shd w:val="clear" w:color="auto" w:fill="auto"/>
            <w:vAlign w:val="center"/>
          </w:tcPr>
          <w:p w:rsidR="00A61B9F" w:rsidRPr="002A3674" w:rsidRDefault="002A3674" w:rsidP="002A3674">
            <w:pPr>
              <w:spacing w:before="0" w:after="0" w:line="240" w:lineRule="auto"/>
              <w:jc w:val="center"/>
              <w:rPr>
                <w:rFonts w:cs="Arial"/>
                <w:sz w:val="18"/>
                <w:szCs w:val="18"/>
              </w:rPr>
            </w:pPr>
            <w:r>
              <w:rPr>
                <w:rFonts w:cs="Arial"/>
                <w:sz w:val="18"/>
                <w:szCs w:val="18"/>
              </w:rPr>
              <w:t>1 327</w:t>
            </w:r>
          </w:p>
        </w:tc>
        <w:tc>
          <w:tcPr>
            <w:tcW w:w="1152" w:type="dxa"/>
            <w:shd w:val="clear" w:color="auto" w:fill="auto"/>
            <w:vAlign w:val="center"/>
          </w:tcPr>
          <w:p w:rsidR="00A61B9F" w:rsidRPr="002A3674" w:rsidRDefault="00A61B9F" w:rsidP="002A3674">
            <w:pPr>
              <w:spacing w:before="0" w:after="0" w:line="240" w:lineRule="auto"/>
              <w:jc w:val="center"/>
              <w:rPr>
                <w:sz w:val="18"/>
                <w:szCs w:val="18"/>
              </w:rPr>
            </w:pPr>
            <w:r w:rsidRPr="002A3674">
              <w:rPr>
                <w:sz w:val="18"/>
                <w:szCs w:val="18"/>
              </w:rPr>
              <w:t>1</w:t>
            </w:r>
            <w:r w:rsidR="002A3674">
              <w:rPr>
                <w:sz w:val="18"/>
                <w:szCs w:val="18"/>
              </w:rPr>
              <w:t xml:space="preserve"> </w:t>
            </w:r>
            <w:r w:rsidRPr="002A3674">
              <w:rPr>
                <w:sz w:val="18"/>
                <w:szCs w:val="18"/>
              </w:rPr>
              <w:t>4</w:t>
            </w:r>
            <w:r w:rsidR="002A3674">
              <w:rPr>
                <w:sz w:val="18"/>
                <w:szCs w:val="18"/>
              </w:rPr>
              <w:t>75</w:t>
            </w:r>
          </w:p>
        </w:tc>
        <w:tc>
          <w:tcPr>
            <w:tcW w:w="1152" w:type="dxa"/>
            <w:gridSpan w:val="2"/>
            <w:shd w:val="clear" w:color="auto" w:fill="auto"/>
            <w:vAlign w:val="center"/>
          </w:tcPr>
          <w:p w:rsidR="00A61B9F" w:rsidRPr="002A3674" w:rsidRDefault="00CA7A6F" w:rsidP="002A3674">
            <w:pPr>
              <w:spacing w:before="0" w:after="0" w:line="240" w:lineRule="auto"/>
              <w:jc w:val="center"/>
              <w:rPr>
                <w:sz w:val="18"/>
                <w:szCs w:val="18"/>
              </w:rPr>
            </w:pPr>
            <w:r>
              <w:rPr>
                <w:sz w:val="18"/>
                <w:szCs w:val="18"/>
              </w:rPr>
              <w:t>+</w:t>
            </w:r>
            <w:r w:rsidR="002A3674">
              <w:rPr>
                <w:sz w:val="18"/>
                <w:szCs w:val="18"/>
              </w:rPr>
              <w:t>226</w:t>
            </w:r>
          </w:p>
        </w:tc>
        <w:tc>
          <w:tcPr>
            <w:tcW w:w="1151" w:type="dxa"/>
            <w:gridSpan w:val="2"/>
            <w:shd w:val="clear" w:color="auto" w:fill="auto"/>
            <w:vAlign w:val="center"/>
          </w:tcPr>
          <w:p w:rsidR="00A61B9F" w:rsidRPr="002A3674" w:rsidRDefault="002A3674" w:rsidP="002A3674">
            <w:pPr>
              <w:spacing w:before="0" w:after="0" w:line="240" w:lineRule="auto"/>
              <w:jc w:val="center"/>
              <w:rPr>
                <w:sz w:val="18"/>
                <w:szCs w:val="18"/>
              </w:rPr>
            </w:pPr>
            <w:r>
              <w:rPr>
                <w:sz w:val="18"/>
                <w:szCs w:val="18"/>
              </w:rPr>
              <w:t>661</w:t>
            </w:r>
          </w:p>
        </w:tc>
        <w:tc>
          <w:tcPr>
            <w:tcW w:w="1152" w:type="dxa"/>
            <w:shd w:val="clear" w:color="auto" w:fill="auto"/>
            <w:vAlign w:val="center"/>
          </w:tcPr>
          <w:p w:rsidR="00A61B9F" w:rsidRPr="002A3674" w:rsidRDefault="002A3674" w:rsidP="002A3674">
            <w:pPr>
              <w:spacing w:before="0" w:after="0" w:line="240" w:lineRule="auto"/>
              <w:jc w:val="center"/>
              <w:rPr>
                <w:sz w:val="18"/>
                <w:szCs w:val="18"/>
              </w:rPr>
            </w:pPr>
            <w:r>
              <w:rPr>
                <w:sz w:val="18"/>
                <w:szCs w:val="18"/>
              </w:rPr>
              <w:t>783</w:t>
            </w:r>
          </w:p>
        </w:tc>
        <w:tc>
          <w:tcPr>
            <w:tcW w:w="1152" w:type="dxa"/>
            <w:gridSpan w:val="2"/>
            <w:shd w:val="clear" w:color="auto" w:fill="auto"/>
            <w:vAlign w:val="center"/>
          </w:tcPr>
          <w:p w:rsidR="00A61B9F" w:rsidRPr="002A3674" w:rsidRDefault="002A3674" w:rsidP="002A3674">
            <w:pPr>
              <w:spacing w:before="0" w:after="0" w:line="240" w:lineRule="auto"/>
              <w:jc w:val="center"/>
              <w:rPr>
                <w:rFonts w:cs="Arial"/>
                <w:sz w:val="18"/>
                <w:szCs w:val="18"/>
              </w:rPr>
            </w:pPr>
            <w:r>
              <w:rPr>
                <w:rFonts w:cs="Arial"/>
                <w:sz w:val="18"/>
                <w:szCs w:val="18"/>
              </w:rPr>
              <w:t>53,08</w:t>
            </w:r>
          </w:p>
        </w:tc>
        <w:tc>
          <w:tcPr>
            <w:tcW w:w="1152" w:type="dxa"/>
            <w:gridSpan w:val="2"/>
            <w:shd w:val="clear" w:color="auto" w:fill="auto"/>
            <w:vAlign w:val="center"/>
          </w:tcPr>
          <w:p w:rsidR="00A61B9F" w:rsidRPr="002A3674" w:rsidRDefault="002A3674" w:rsidP="002A3674">
            <w:pPr>
              <w:spacing w:before="0" w:after="0" w:line="240" w:lineRule="auto"/>
              <w:jc w:val="center"/>
              <w:rPr>
                <w:rFonts w:cs="Arial"/>
                <w:sz w:val="18"/>
                <w:szCs w:val="18"/>
              </w:rPr>
            </w:pPr>
            <w:r>
              <w:rPr>
                <w:rFonts w:cs="Arial"/>
                <w:sz w:val="18"/>
                <w:szCs w:val="18"/>
              </w:rPr>
              <w:t>64</w:t>
            </w:r>
          </w:p>
        </w:tc>
      </w:tr>
    </w:tbl>
    <w:p w:rsidR="00A61B9F" w:rsidRPr="00DA6B2E" w:rsidRDefault="00A61B9F" w:rsidP="00A61B9F">
      <w:pPr>
        <w:spacing w:before="0"/>
        <w:rPr>
          <w:sz w:val="16"/>
          <w:szCs w:val="16"/>
        </w:rPr>
      </w:pPr>
      <w:r w:rsidRPr="00DA6B2E">
        <w:rPr>
          <w:sz w:val="16"/>
          <w:szCs w:val="16"/>
        </w:rPr>
        <w:t xml:space="preserve">Zdroj: </w:t>
      </w:r>
      <w:r w:rsidR="002A3674">
        <w:rPr>
          <w:sz w:val="16"/>
          <w:szCs w:val="16"/>
        </w:rPr>
        <w:t>ČSÚ – SLDB 2001 a 2011</w:t>
      </w:r>
      <w:r w:rsidRPr="00DA6B2E">
        <w:rPr>
          <w:sz w:val="16"/>
          <w:szCs w:val="16"/>
        </w:rPr>
        <w:t xml:space="preserve"> </w:t>
      </w:r>
    </w:p>
    <w:p w:rsidR="00A61B9F" w:rsidRDefault="00A61B9F" w:rsidP="002A3674">
      <w:pPr>
        <w:spacing w:before="120" w:after="120"/>
      </w:pPr>
      <w:r w:rsidRPr="002A3674">
        <w:t>K rozhodnému datu celostátního censu (26.3.2011) bylo v Ostrově celkem sečteno 1 539 domů,</w:t>
      </w:r>
      <w:r w:rsidR="002A3674">
        <w:t xml:space="preserve"> </w:t>
      </w:r>
      <w:r w:rsidRPr="002A3674">
        <w:t>z toho 1 475 domů bylo určeno k bydlení. Porovnáním počtu obydlených domů z censu 2011</w:t>
      </w:r>
      <w:r w:rsidR="002A3674">
        <w:t xml:space="preserve"> </w:t>
      </w:r>
      <w:r w:rsidRPr="002A3674">
        <w:t>s předchozím censem před deseti lety je patrný přírůstek 148 objektů pro bydlení a s rokem 1991</w:t>
      </w:r>
      <w:r w:rsidR="002A3674">
        <w:t xml:space="preserve"> </w:t>
      </w:r>
      <w:r w:rsidRPr="002A3674">
        <w:t>celkem 226 objektů pro bydlení.</w:t>
      </w:r>
    </w:p>
    <w:p w:rsidR="00F63623" w:rsidRPr="00A245CE" w:rsidRDefault="00F63623" w:rsidP="00F63623">
      <w:pPr>
        <w:pStyle w:val="Nadpis6"/>
        <w:rPr>
          <w:rFonts w:asciiTheme="majorHAnsi" w:hAnsiTheme="majorHAnsi"/>
        </w:rPr>
      </w:pPr>
      <w:r>
        <w:rPr>
          <w:rFonts w:asciiTheme="majorHAnsi" w:hAnsiTheme="majorHAnsi"/>
        </w:rPr>
        <w:t>Byty</w:t>
      </w:r>
    </w:p>
    <w:p w:rsidR="00F63623" w:rsidRPr="00A245CE" w:rsidRDefault="00F63623" w:rsidP="00F63623">
      <w:pPr>
        <w:spacing w:before="0" w:after="120"/>
        <w:rPr>
          <w:rFonts w:asciiTheme="minorHAnsi" w:hAnsiTheme="minorHAnsi" w:cs="Arial-ItalicMT"/>
          <w:b/>
          <w:bCs/>
          <w:iCs/>
          <w:color w:val="372C74"/>
          <w:spacing w:val="10"/>
          <w:szCs w:val="22"/>
        </w:rPr>
      </w:pPr>
    </w:p>
    <w:p w:rsidR="002A3674" w:rsidRPr="003743FF" w:rsidRDefault="002A3674" w:rsidP="002A3674">
      <w:pPr>
        <w:spacing w:before="0" w:after="120"/>
        <w:rPr>
          <w:rFonts w:asciiTheme="majorHAnsi" w:hAnsiTheme="majorHAnsi"/>
        </w:rPr>
      </w:pPr>
      <w:bookmarkStart w:id="89" w:name="_Toc516059031"/>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22</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sidR="00CA7A6F">
        <w:rPr>
          <w:rFonts w:cs="Arial-ItalicMT"/>
          <w:iCs/>
          <w:sz w:val="18"/>
          <w:szCs w:val="18"/>
        </w:rPr>
        <w:t>Bytový fond</w:t>
      </w:r>
      <w:r w:rsidRPr="00A61B9F">
        <w:rPr>
          <w:rFonts w:cs="Arial-ItalicMT"/>
          <w:iCs/>
          <w:sz w:val="18"/>
          <w:szCs w:val="18"/>
        </w:rPr>
        <w:t xml:space="preserve"> (SLBD 1991, 2001, 2011)</w:t>
      </w:r>
      <w:bookmarkEnd w:id="89"/>
    </w:p>
    <w:tbl>
      <w:tblPr>
        <w:tblW w:w="9464" w:type="dxa"/>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ayout w:type="fixed"/>
        <w:tblLook w:val="04A0" w:firstRow="1" w:lastRow="0" w:firstColumn="1" w:lastColumn="0" w:noHBand="0" w:noVBand="1"/>
      </w:tblPr>
      <w:tblGrid>
        <w:gridCol w:w="250"/>
        <w:gridCol w:w="1151"/>
        <w:gridCol w:w="1152"/>
        <w:gridCol w:w="1152"/>
        <w:gridCol w:w="798"/>
        <w:gridCol w:w="354"/>
        <w:gridCol w:w="354"/>
        <w:gridCol w:w="797"/>
        <w:gridCol w:w="1152"/>
        <w:gridCol w:w="886"/>
        <w:gridCol w:w="266"/>
        <w:gridCol w:w="18"/>
        <w:gridCol w:w="1134"/>
      </w:tblGrid>
      <w:tr w:rsidR="002A3674" w:rsidRPr="002A3674" w:rsidTr="002A3674">
        <w:trPr>
          <w:tblHeader/>
        </w:trPr>
        <w:tc>
          <w:tcPr>
            <w:tcW w:w="250" w:type="dxa"/>
            <w:tcBorders>
              <w:top w:val="nil"/>
              <w:left w:val="nil"/>
              <w:bottom w:val="nil"/>
              <w:right w:val="nil"/>
              <w:tl2br w:val="nil"/>
              <w:tr2bl w:val="nil"/>
            </w:tcBorders>
            <w:shd w:val="clear" w:color="auto" w:fill="auto"/>
            <w:vAlign w:val="center"/>
          </w:tcPr>
          <w:p w:rsidR="002A3674" w:rsidRPr="002A3674" w:rsidRDefault="002A3674" w:rsidP="002A3674">
            <w:pPr>
              <w:spacing w:before="0" w:after="0" w:line="240" w:lineRule="auto"/>
              <w:jc w:val="center"/>
              <w:rPr>
                <w:b/>
                <w:sz w:val="16"/>
                <w:szCs w:val="16"/>
              </w:rPr>
            </w:pPr>
          </w:p>
        </w:tc>
        <w:tc>
          <w:tcPr>
            <w:tcW w:w="4253" w:type="dxa"/>
            <w:gridSpan w:val="4"/>
            <w:tcBorders>
              <w:top w:val="single" w:sz="12" w:space="0" w:color="372C74"/>
              <w:left w:val="nil"/>
              <w:bottom w:val="single" w:sz="12" w:space="0" w:color="FFFFFF"/>
              <w:right w:val="nil"/>
              <w:tl2br w:val="nil"/>
              <w:tr2bl w:val="nil"/>
            </w:tcBorders>
            <w:shd w:val="clear" w:color="auto" w:fill="372C74"/>
            <w:vAlign w:val="center"/>
          </w:tcPr>
          <w:p w:rsidR="002A3674" w:rsidRPr="002A3674" w:rsidRDefault="002A3674" w:rsidP="00CA7A6F">
            <w:pPr>
              <w:spacing w:before="0" w:after="0" w:line="240" w:lineRule="auto"/>
              <w:jc w:val="center"/>
              <w:rPr>
                <w:b/>
                <w:sz w:val="16"/>
                <w:szCs w:val="16"/>
              </w:rPr>
            </w:pPr>
            <w:r w:rsidRPr="002A3674">
              <w:rPr>
                <w:b/>
                <w:sz w:val="16"/>
                <w:szCs w:val="16"/>
              </w:rPr>
              <w:t xml:space="preserve">Trvale obydlené </w:t>
            </w:r>
            <w:r w:rsidR="00CA7A6F">
              <w:rPr>
                <w:b/>
                <w:sz w:val="16"/>
                <w:szCs w:val="16"/>
              </w:rPr>
              <w:t>byty</w:t>
            </w:r>
          </w:p>
        </w:tc>
        <w:tc>
          <w:tcPr>
            <w:tcW w:w="708" w:type="dxa"/>
            <w:gridSpan w:val="2"/>
            <w:tcBorders>
              <w:top w:val="single" w:sz="12" w:space="0" w:color="372C74"/>
              <w:left w:val="nil"/>
              <w:bottom w:val="single" w:sz="12" w:space="0" w:color="FFFFFF"/>
              <w:right w:val="nil"/>
              <w:tl2br w:val="nil"/>
              <w:tr2bl w:val="nil"/>
            </w:tcBorders>
            <w:shd w:val="clear" w:color="auto" w:fill="372C74"/>
            <w:vAlign w:val="center"/>
          </w:tcPr>
          <w:p w:rsidR="002A3674" w:rsidRPr="002A3674" w:rsidRDefault="002A3674" w:rsidP="002A3674">
            <w:pPr>
              <w:spacing w:before="0" w:after="0" w:line="240" w:lineRule="auto"/>
              <w:jc w:val="center"/>
              <w:rPr>
                <w:b/>
                <w:sz w:val="16"/>
                <w:szCs w:val="16"/>
              </w:rPr>
            </w:pPr>
          </w:p>
        </w:tc>
        <w:tc>
          <w:tcPr>
            <w:tcW w:w="2835" w:type="dxa"/>
            <w:gridSpan w:val="3"/>
            <w:tcBorders>
              <w:top w:val="single" w:sz="12" w:space="0" w:color="372C74"/>
              <w:left w:val="nil"/>
              <w:bottom w:val="single" w:sz="12" w:space="0" w:color="FFFFFF"/>
              <w:right w:val="nil"/>
              <w:tl2br w:val="nil"/>
              <w:tr2bl w:val="nil"/>
            </w:tcBorders>
            <w:shd w:val="clear" w:color="auto" w:fill="372C74"/>
            <w:vAlign w:val="center"/>
          </w:tcPr>
          <w:p w:rsidR="002A3674" w:rsidRPr="002A3674" w:rsidRDefault="00CA7A6F" w:rsidP="002A3674">
            <w:pPr>
              <w:spacing w:before="0" w:after="0" w:line="240" w:lineRule="auto"/>
              <w:jc w:val="center"/>
              <w:rPr>
                <w:b/>
                <w:sz w:val="16"/>
                <w:szCs w:val="16"/>
              </w:rPr>
            </w:pPr>
            <w:r>
              <w:rPr>
                <w:b/>
                <w:sz w:val="16"/>
                <w:szCs w:val="16"/>
              </w:rPr>
              <w:t xml:space="preserve">                  </w:t>
            </w:r>
            <w:r w:rsidR="002A3674" w:rsidRPr="002A3674">
              <w:rPr>
                <w:b/>
                <w:sz w:val="16"/>
                <w:szCs w:val="16"/>
              </w:rPr>
              <w:t xml:space="preserve">Z toho RD </w:t>
            </w:r>
          </w:p>
        </w:tc>
        <w:tc>
          <w:tcPr>
            <w:tcW w:w="284" w:type="dxa"/>
            <w:gridSpan w:val="2"/>
            <w:tcBorders>
              <w:top w:val="single" w:sz="12" w:space="0" w:color="372C74"/>
              <w:left w:val="nil"/>
              <w:bottom w:val="single" w:sz="12" w:space="0" w:color="FFFFFF"/>
              <w:right w:val="nil"/>
              <w:tl2br w:val="nil"/>
              <w:tr2bl w:val="nil"/>
            </w:tcBorders>
            <w:shd w:val="clear" w:color="auto" w:fill="372C74"/>
            <w:vAlign w:val="center"/>
          </w:tcPr>
          <w:p w:rsidR="002A3674" w:rsidRPr="002A3674" w:rsidRDefault="002A3674" w:rsidP="002A3674">
            <w:pPr>
              <w:spacing w:before="0" w:after="0" w:line="240" w:lineRule="auto"/>
              <w:jc w:val="center"/>
              <w:rPr>
                <w:b/>
                <w:sz w:val="16"/>
                <w:szCs w:val="16"/>
              </w:rPr>
            </w:pPr>
          </w:p>
        </w:tc>
        <w:tc>
          <w:tcPr>
            <w:tcW w:w="1134" w:type="dxa"/>
            <w:tcBorders>
              <w:top w:val="single" w:sz="12" w:space="0" w:color="372C74"/>
              <w:left w:val="nil"/>
              <w:bottom w:val="single" w:sz="12" w:space="0" w:color="FFFFFF"/>
              <w:right w:val="single" w:sz="12" w:space="0" w:color="372C74"/>
              <w:tl2br w:val="nil"/>
              <w:tr2bl w:val="nil"/>
            </w:tcBorders>
            <w:shd w:val="clear" w:color="auto" w:fill="372C74"/>
            <w:vAlign w:val="center"/>
          </w:tcPr>
          <w:p w:rsidR="002A3674" w:rsidRPr="002A3674" w:rsidRDefault="002A3674" w:rsidP="002A3674">
            <w:pPr>
              <w:spacing w:before="0" w:after="0" w:line="240" w:lineRule="auto"/>
              <w:jc w:val="center"/>
              <w:rPr>
                <w:b/>
                <w:sz w:val="16"/>
                <w:szCs w:val="16"/>
              </w:rPr>
            </w:pPr>
          </w:p>
        </w:tc>
      </w:tr>
      <w:tr w:rsidR="00CA7A6F" w:rsidRPr="002A3674" w:rsidTr="002A3674">
        <w:trPr>
          <w:trHeight w:val="492"/>
          <w:tblHeader/>
        </w:trPr>
        <w:tc>
          <w:tcPr>
            <w:tcW w:w="250" w:type="dxa"/>
            <w:tcBorders>
              <w:top w:val="nil"/>
              <w:left w:val="nil"/>
              <w:bottom w:val="nil"/>
              <w:right w:val="single" w:sz="12" w:space="0" w:color="282156" w:themeColor="accent1" w:themeShade="BF"/>
              <w:tl2br w:val="nil"/>
              <w:tr2bl w:val="nil"/>
            </w:tcBorders>
            <w:shd w:val="clear" w:color="auto" w:fill="auto"/>
            <w:vAlign w:val="center"/>
          </w:tcPr>
          <w:p w:rsidR="00CA7A6F" w:rsidRPr="002A3674" w:rsidRDefault="00CA7A6F" w:rsidP="002A3674">
            <w:pPr>
              <w:spacing w:before="0" w:after="0" w:line="240" w:lineRule="auto"/>
              <w:jc w:val="center"/>
              <w:rPr>
                <w:b/>
                <w:sz w:val="16"/>
                <w:szCs w:val="16"/>
              </w:rPr>
            </w:pPr>
          </w:p>
        </w:tc>
        <w:tc>
          <w:tcPr>
            <w:tcW w:w="1151" w:type="dxa"/>
            <w:tcBorders>
              <w:top w:val="single" w:sz="12" w:space="0" w:color="FFFFFF"/>
              <w:left w:val="single" w:sz="12" w:space="0" w:color="282156" w:themeColor="accent1" w:themeShade="BF"/>
              <w:bottom w:val="single" w:sz="12" w:space="0" w:color="FFFFFF"/>
              <w:right w:val="nil"/>
              <w:tl2br w:val="nil"/>
              <w:tr2bl w:val="nil"/>
            </w:tcBorders>
            <w:shd w:val="clear" w:color="auto" w:fill="372C74"/>
            <w:vAlign w:val="center"/>
          </w:tcPr>
          <w:p w:rsidR="00CA7A6F" w:rsidRPr="002A3674" w:rsidRDefault="00CA7A6F" w:rsidP="002A3674">
            <w:pPr>
              <w:spacing w:before="0" w:after="0" w:line="240" w:lineRule="auto"/>
              <w:jc w:val="center"/>
              <w:rPr>
                <w:b/>
                <w:sz w:val="16"/>
                <w:szCs w:val="16"/>
              </w:rPr>
            </w:pPr>
            <w:r w:rsidRPr="002A3674">
              <w:rPr>
                <w:b/>
                <w:sz w:val="16"/>
                <w:szCs w:val="16"/>
              </w:rPr>
              <w:t>1991</w:t>
            </w:r>
          </w:p>
        </w:tc>
        <w:tc>
          <w:tcPr>
            <w:tcW w:w="1152" w:type="dxa"/>
            <w:tcBorders>
              <w:top w:val="single" w:sz="12" w:space="0" w:color="FFFFFF"/>
              <w:left w:val="nil"/>
              <w:bottom w:val="single" w:sz="12" w:space="0" w:color="FFFFFF"/>
              <w:right w:val="nil"/>
              <w:tl2br w:val="nil"/>
              <w:tr2bl w:val="nil"/>
            </w:tcBorders>
            <w:shd w:val="clear" w:color="auto" w:fill="372C74"/>
            <w:vAlign w:val="center"/>
          </w:tcPr>
          <w:p w:rsidR="00CA7A6F" w:rsidRPr="002A3674" w:rsidRDefault="00CA7A6F" w:rsidP="002A3674">
            <w:pPr>
              <w:spacing w:before="0" w:after="0" w:line="240" w:lineRule="auto"/>
              <w:jc w:val="center"/>
              <w:rPr>
                <w:b/>
                <w:sz w:val="16"/>
                <w:szCs w:val="16"/>
              </w:rPr>
            </w:pPr>
            <w:r w:rsidRPr="002A3674">
              <w:rPr>
                <w:b/>
                <w:sz w:val="16"/>
                <w:szCs w:val="16"/>
              </w:rPr>
              <w:t>2001</w:t>
            </w:r>
          </w:p>
        </w:tc>
        <w:tc>
          <w:tcPr>
            <w:tcW w:w="1152" w:type="dxa"/>
            <w:tcBorders>
              <w:top w:val="single" w:sz="12" w:space="0" w:color="FFFFFF"/>
              <w:left w:val="nil"/>
              <w:bottom w:val="single" w:sz="12" w:space="0" w:color="FFFFFF"/>
              <w:right w:val="nil"/>
              <w:tl2br w:val="nil"/>
              <w:tr2bl w:val="nil"/>
            </w:tcBorders>
            <w:shd w:val="clear" w:color="auto" w:fill="372C74"/>
            <w:vAlign w:val="center"/>
          </w:tcPr>
          <w:p w:rsidR="00CA7A6F" w:rsidRPr="002A3674" w:rsidRDefault="00CA7A6F" w:rsidP="002A3674">
            <w:pPr>
              <w:spacing w:before="0" w:after="0" w:line="240" w:lineRule="auto"/>
              <w:jc w:val="center"/>
              <w:rPr>
                <w:b/>
                <w:sz w:val="16"/>
                <w:szCs w:val="16"/>
              </w:rPr>
            </w:pPr>
            <w:r w:rsidRPr="002A3674">
              <w:rPr>
                <w:b/>
                <w:sz w:val="16"/>
                <w:szCs w:val="16"/>
              </w:rPr>
              <w:t>2011</w:t>
            </w:r>
          </w:p>
        </w:tc>
        <w:tc>
          <w:tcPr>
            <w:tcW w:w="1152" w:type="dxa"/>
            <w:gridSpan w:val="2"/>
            <w:tcBorders>
              <w:top w:val="single" w:sz="12" w:space="0" w:color="FFFFFF"/>
              <w:left w:val="nil"/>
              <w:bottom w:val="single" w:sz="12" w:space="0" w:color="FFFFFF"/>
              <w:right w:val="nil"/>
              <w:tl2br w:val="nil"/>
              <w:tr2bl w:val="nil"/>
            </w:tcBorders>
            <w:shd w:val="clear" w:color="auto" w:fill="372C74"/>
            <w:vAlign w:val="center"/>
          </w:tcPr>
          <w:p w:rsidR="00CA7A6F" w:rsidRPr="002A3674" w:rsidRDefault="00CA7A6F" w:rsidP="002A3674">
            <w:pPr>
              <w:spacing w:before="0" w:after="0" w:line="240" w:lineRule="auto"/>
              <w:jc w:val="center"/>
              <w:rPr>
                <w:b/>
                <w:sz w:val="16"/>
                <w:szCs w:val="16"/>
              </w:rPr>
            </w:pPr>
            <w:r w:rsidRPr="002A3674">
              <w:rPr>
                <w:b/>
                <w:sz w:val="16"/>
                <w:szCs w:val="16"/>
              </w:rPr>
              <w:t>Přírůstek/ úbytek</w:t>
            </w:r>
          </w:p>
        </w:tc>
        <w:tc>
          <w:tcPr>
            <w:tcW w:w="1151" w:type="dxa"/>
            <w:gridSpan w:val="2"/>
            <w:tcBorders>
              <w:top w:val="single" w:sz="12" w:space="0" w:color="FFFFFF"/>
              <w:left w:val="nil"/>
              <w:bottom w:val="single" w:sz="12" w:space="0" w:color="FFFFFF"/>
              <w:right w:val="nil"/>
              <w:tl2br w:val="nil"/>
              <w:tr2bl w:val="nil"/>
            </w:tcBorders>
            <w:shd w:val="clear" w:color="auto" w:fill="372C74"/>
            <w:vAlign w:val="center"/>
          </w:tcPr>
          <w:p w:rsidR="00CA7A6F" w:rsidRPr="002A3674" w:rsidRDefault="00CA7A6F" w:rsidP="00A2239D">
            <w:pPr>
              <w:spacing w:before="0" w:after="0" w:line="240" w:lineRule="auto"/>
              <w:jc w:val="center"/>
              <w:rPr>
                <w:b/>
                <w:sz w:val="16"/>
                <w:szCs w:val="16"/>
              </w:rPr>
            </w:pPr>
            <w:r w:rsidRPr="002A3674">
              <w:rPr>
                <w:b/>
                <w:sz w:val="16"/>
                <w:szCs w:val="16"/>
              </w:rPr>
              <w:t>1991</w:t>
            </w:r>
          </w:p>
        </w:tc>
        <w:tc>
          <w:tcPr>
            <w:tcW w:w="1152" w:type="dxa"/>
            <w:tcBorders>
              <w:top w:val="single" w:sz="12" w:space="0" w:color="FFFFFF"/>
              <w:left w:val="nil"/>
              <w:bottom w:val="single" w:sz="12" w:space="0" w:color="FFFFFF"/>
              <w:right w:val="nil"/>
              <w:tl2br w:val="nil"/>
              <w:tr2bl w:val="nil"/>
            </w:tcBorders>
            <w:shd w:val="clear" w:color="auto" w:fill="372C74"/>
            <w:vAlign w:val="center"/>
          </w:tcPr>
          <w:p w:rsidR="00CA7A6F" w:rsidRPr="002A3674" w:rsidRDefault="00CA7A6F" w:rsidP="00A2239D">
            <w:pPr>
              <w:spacing w:before="0" w:after="0" w:line="240" w:lineRule="auto"/>
              <w:jc w:val="center"/>
              <w:rPr>
                <w:b/>
                <w:sz w:val="16"/>
                <w:szCs w:val="16"/>
              </w:rPr>
            </w:pPr>
            <w:r w:rsidRPr="002A3674">
              <w:rPr>
                <w:b/>
                <w:sz w:val="16"/>
                <w:szCs w:val="16"/>
              </w:rPr>
              <w:t>2001</w:t>
            </w:r>
          </w:p>
        </w:tc>
        <w:tc>
          <w:tcPr>
            <w:tcW w:w="1152" w:type="dxa"/>
            <w:gridSpan w:val="2"/>
            <w:tcBorders>
              <w:top w:val="single" w:sz="12" w:space="0" w:color="FFFFFF"/>
              <w:left w:val="nil"/>
              <w:bottom w:val="single" w:sz="12" w:space="0" w:color="FFFFFF"/>
              <w:right w:val="nil"/>
              <w:tl2br w:val="nil"/>
              <w:tr2bl w:val="nil"/>
            </w:tcBorders>
            <w:shd w:val="clear" w:color="auto" w:fill="372C74"/>
            <w:vAlign w:val="center"/>
          </w:tcPr>
          <w:p w:rsidR="00CA7A6F" w:rsidRPr="002A3674" w:rsidRDefault="00CA7A6F" w:rsidP="00A2239D">
            <w:pPr>
              <w:spacing w:before="0" w:after="0" w:line="240" w:lineRule="auto"/>
              <w:jc w:val="center"/>
              <w:rPr>
                <w:b/>
                <w:sz w:val="16"/>
                <w:szCs w:val="16"/>
              </w:rPr>
            </w:pPr>
            <w:r w:rsidRPr="002A3674">
              <w:rPr>
                <w:b/>
                <w:sz w:val="16"/>
                <w:szCs w:val="16"/>
              </w:rPr>
              <w:t>2011</w:t>
            </w:r>
          </w:p>
        </w:tc>
        <w:tc>
          <w:tcPr>
            <w:tcW w:w="1152" w:type="dxa"/>
            <w:gridSpan w:val="2"/>
            <w:tcBorders>
              <w:top w:val="single" w:sz="12" w:space="0" w:color="FFFFFF"/>
              <w:left w:val="nil"/>
              <w:bottom w:val="single" w:sz="12" w:space="0" w:color="FFFFFF"/>
              <w:right w:val="single" w:sz="12" w:space="0" w:color="372C74"/>
              <w:tl2br w:val="nil"/>
              <w:tr2bl w:val="nil"/>
            </w:tcBorders>
            <w:shd w:val="clear" w:color="auto" w:fill="372C74"/>
            <w:vAlign w:val="center"/>
          </w:tcPr>
          <w:p w:rsidR="00CA7A6F" w:rsidRPr="002A3674" w:rsidRDefault="00CA7A6F" w:rsidP="00A2239D">
            <w:pPr>
              <w:spacing w:before="0" w:after="0" w:line="240" w:lineRule="auto"/>
              <w:jc w:val="center"/>
              <w:rPr>
                <w:b/>
                <w:sz w:val="16"/>
                <w:szCs w:val="16"/>
              </w:rPr>
            </w:pPr>
            <w:r w:rsidRPr="002A3674">
              <w:rPr>
                <w:b/>
                <w:sz w:val="16"/>
                <w:szCs w:val="16"/>
              </w:rPr>
              <w:t>Přírůstek/ úbytek</w:t>
            </w:r>
          </w:p>
        </w:tc>
      </w:tr>
      <w:tr w:rsidR="002A3674" w:rsidRPr="002A3674" w:rsidTr="002A3674">
        <w:tc>
          <w:tcPr>
            <w:tcW w:w="250" w:type="dxa"/>
            <w:tcBorders>
              <w:top w:val="nil"/>
              <w:left w:val="nil"/>
              <w:bottom w:val="nil"/>
              <w:right w:val="single" w:sz="12" w:space="0" w:color="282156" w:themeColor="accent1" w:themeShade="BF"/>
              <w:tl2br w:val="nil"/>
              <w:tr2bl w:val="nil"/>
            </w:tcBorders>
            <w:shd w:val="clear" w:color="auto" w:fill="auto"/>
            <w:vAlign w:val="center"/>
          </w:tcPr>
          <w:p w:rsidR="002A3674" w:rsidRPr="002A3674" w:rsidRDefault="002A3674" w:rsidP="002A3674">
            <w:pPr>
              <w:spacing w:before="0" w:after="0" w:line="240" w:lineRule="auto"/>
              <w:ind w:firstLineChars="100" w:firstLine="184"/>
              <w:rPr>
                <w:rFonts w:cs="Arial"/>
                <w:sz w:val="18"/>
                <w:szCs w:val="18"/>
              </w:rPr>
            </w:pPr>
          </w:p>
        </w:tc>
        <w:tc>
          <w:tcPr>
            <w:tcW w:w="1151" w:type="dxa"/>
            <w:tcBorders>
              <w:left w:val="single" w:sz="12" w:space="0" w:color="282156" w:themeColor="accent1" w:themeShade="BF"/>
            </w:tcBorders>
            <w:shd w:val="clear" w:color="auto" w:fill="auto"/>
            <w:vAlign w:val="center"/>
          </w:tcPr>
          <w:p w:rsidR="002A3674" w:rsidRPr="002A3674" w:rsidRDefault="00CA7A6F" w:rsidP="002A3674">
            <w:pPr>
              <w:spacing w:before="0" w:after="0" w:line="240" w:lineRule="auto"/>
              <w:jc w:val="center"/>
              <w:rPr>
                <w:rFonts w:cs="Arial"/>
                <w:sz w:val="18"/>
                <w:szCs w:val="18"/>
              </w:rPr>
            </w:pPr>
            <w:r>
              <w:rPr>
                <w:rFonts w:cs="Arial"/>
                <w:sz w:val="18"/>
                <w:szCs w:val="18"/>
              </w:rPr>
              <w:t>6 466</w:t>
            </w:r>
          </w:p>
        </w:tc>
        <w:tc>
          <w:tcPr>
            <w:tcW w:w="1152" w:type="dxa"/>
            <w:shd w:val="clear" w:color="auto" w:fill="auto"/>
            <w:vAlign w:val="center"/>
          </w:tcPr>
          <w:p w:rsidR="002A3674" w:rsidRPr="002A3674" w:rsidRDefault="00CA7A6F" w:rsidP="002A3674">
            <w:pPr>
              <w:spacing w:before="0" w:after="0" w:line="240" w:lineRule="auto"/>
              <w:jc w:val="center"/>
              <w:rPr>
                <w:rFonts w:cs="Arial"/>
                <w:sz w:val="18"/>
                <w:szCs w:val="18"/>
              </w:rPr>
            </w:pPr>
            <w:r>
              <w:rPr>
                <w:rFonts w:cs="Arial"/>
                <w:sz w:val="18"/>
                <w:szCs w:val="18"/>
              </w:rPr>
              <w:t>6 820</w:t>
            </w:r>
          </w:p>
        </w:tc>
        <w:tc>
          <w:tcPr>
            <w:tcW w:w="1152" w:type="dxa"/>
            <w:shd w:val="clear" w:color="auto" w:fill="auto"/>
            <w:vAlign w:val="center"/>
          </w:tcPr>
          <w:p w:rsidR="002A3674" w:rsidRPr="002A3674" w:rsidRDefault="00CA7A6F" w:rsidP="002A3674">
            <w:pPr>
              <w:spacing w:before="0" w:after="0" w:line="240" w:lineRule="auto"/>
              <w:jc w:val="center"/>
              <w:rPr>
                <w:sz w:val="18"/>
                <w:szCs w:val="18"/>
              </w:rPr>
            </w:pPr>
            <w:r>
              <w:rPr>
                <w:sz w:val="18"/>
                <w:szCs w:val="18"/>
              </w:rPr>
              <w:t>7 143</w:t>
            </w:r>
          </w:p>
        </w:tc>
        <w:tc>
          <w:tcPr>
            <w:tcW w:w="1152" w:type="dxa"/>
            <w:gridSpan w:val="2"/>
            <w:shd w:val="clear" w:color="auto" w:fill="auto"/>
            <w:vAlign w:val="center"/>
          </w:tcPr>
          <w:p w:rsidR="002A3674" w:rsidRPr="002A3674" w:rsidRDefault="00CA7A6F" w:rsidP="002A3674">
            <w:pPr>
              <w:spacing w:before="0" w:after="0" w:line="240" w:lineRule="auto"/>
              <w:jc w:val="center"/>
              <w:rPr>
                <w:sz w:val="18"/>
                <w:szCs w:val="18"/>
              </w:rPr>
            </w:pPr>
            <w:r>
              <w:rPr>
                <w:sz w:val="18"/>
                <w:szCs w:val="18"/>
              </w:rPr>
              <w:t>+354</w:t>
            </w:r>
          </w:p>
        </w:tc>
        <w:tc>
          <w:tcPr>
            <w:tcW w:w="1151" w:type="dxa"/>
            <w:gridSpan w:val="2"/>
            <w:shd w:val="clear" w:color="auto" w:fill="auto"/>
            <w:vAlign w:val="center"/>
          </w:tcPr>
          <w:p w:rsidR="002A3674" w:rsidRPr="002A3674" w:rsidRDefault="00CA7A6F" w:rsidP="002A3674">
            <w:pPr>
              <w:spacing w:before="0" w:after="0" w:line="240" w:lineRule="auto"/>
              <w:jc w:val="center"/>
              <w:rPr>
                <w:sz w:val="18"/>
                <w:szCs w:val="18"/>
              </w:rPr>
            </w:pPr>
            <w:r>
              <w:rPr>
                <w:sz w:val="18"/>
                <w:szCs w:val="18"/>
              </w:rPr>
              <w:t>590</w:t>
            </w:r>
          </w:p>
        </w:tc>
        <w:tc>
          <w:tcPr>
            <w:tcW w:w="1152" w:type="dxa"/>
            <w:shd w:val="clear" w:color="auto" w:fill="auto"/>
            <w:vAlign w:val="center"/>
          </w:tcPr>
          <w:p w:rsidR="002A3674" w:rsidRPr="002A3674" w:rsidRDefault="002A3674" w:rsidP="00CA7A6F">
            <w:pPr>
              <w:spacing w:before="0" w:after="0" w:line="240" w:lineRule="auto"/>
              <w:jc w:val="center"/>
              <w:rPr>
                <w:sz w:val="18"/>
                <w:szCs w:val="18"/>
              </w:rPr>
            </w:pPr>
            <w:r>
              <w:rPr>
                <w:sz w:val="18"/>
                <w:szCs w:val="18"/>
              </w:rPr>
              <w:t>7</w:t>
            </w:r>
            <w:r w:rsidR="00CA7A6F">
              <w:rPr>
                <w:sz w:val="18"/>
                <w:szCs w:val="18"/>
              </w:rPr>
              <w:t>41</w:t>
            </w:r>
          </w:p>
        </w:tc>
        <w:tc>
          <w:tcPr>
            <w:tcW w:w="1152" w:type="dxa"/>
            <w:gridSpan w:val="2"/>
            <w:shd w:val="clear" w:color="auto" w:fill="auto"/>
            <w:vAlign w:val="center"/>
          </w:tcPr>
          <w:p w:rsidR="002A3674" w:rsidRPr="002A3674" w:rsidRDefault="00CA7A6F" w:rsidP="002A3674">
            <w:pPr>
              <w:spacing w:before="0" w:after="0" w:line="240" w:lineRule="auto"/>
              <w:jc w:val="center"/>
              <w:rPr>
                <w:rFonts w:cs="Arial"/>
                <w:sz w:val="18"/>
                <w:szCs w:val="18"/>
              </w:rPr>
            </w:pPr>
            <w:r>
              <w:rPr>
                <w:rFonts w:cs="Arial"/>
                <w:sz w:val="18"/>
                <w:szCs w:val="18"/>
              </w:rPr>
              <w:t>906</w:t>
            </w:r>
          </w:p>
        </w:tc>
        <w:tc>
          <w:tcPr>
            <w:tcW w:w="1152" w:type="dxa"/>
            <w:gridSpan w:val="2"/>
            <w:shd w:val="clear" w:color="auto" w:fill="auto"/>
            <w:vAlign w:val="center"/>
          </w:tcPr>
          <w:p w:rsidR="002A3674" w:rsidRPr="002A3674" w:rsidRDefault="00CA7A6F" w:rsidP="002A3674">
            <w:pPr>
              <w:spacing w:before="0" w:after="0" w:line="240" w:lineRule="auto"/>
              <w:jc w:val="center"/>
              <w:rPr>
                <w:rFonts w:cs="Arial"/>
                <w:sz w:val="18"/>
                <w:szCs w:val="18"/>
              </w:rPr>
            </w:pPr>
            <w:r>
              <w:rPr>
                <w:rFonts w:cs="Arial"/>
                <w:sz w:val="18"/>
                <w:szCs w:val="18"/>
              </w:rPr>
              <w:t>+151</w:t>
            </w:r>
          </w:p>
        </w:tc>
      </w:tr>
    </w:tbl>
    <w:p w:rsidR="002A3674" w:rsidRPr="00DA6B2E" w:rsidRDefault="002A3674" w:rsidP="002A3674">
      <w:pPr>
        <w:spacing w:before="0"/>
        <w:rPr>
          <w:sz w:val="16"/>
          <w:szCs w:val="16"/>
        </w:rPr>
      </w:pPr>
      <w:r w:rsidRPr="00DA6B2E">
        <w:rPr>
          <w:sz w:val="16"/>
          <w:szCs w:val="16"/>
        </w:rPr>
        <w:t xml:space="preserve">Zdroj: </w:t>
      </w:r>
      <w:r>
        <w:rPr>
          <w:sz w:val="16"/>
          <w:szCs w:val="16"/>
        </w:rPr>
        <w:t>ČSÚ – SLDB 2001 a 2011</w:t>
      </w:r>
      <w:r w:rsidRPr="00DA6B2E">
        <w:rPr>
          <w:sz w:val="16"/>
          <w:szCs w:val="16"/>
        </w:rPr>
        <w:t xml:space="preserve"> </w:t>
      </w:r>
    </w:p>
    <w:p w:rsidR="00A61B9F" w:rsidRPr="00CA7A6F" w:rsidRDefault="00A61B9F" w:rsidP="00CA7A6F">
      <w:pPr>
        <w:spacing w:before="120" w:after="120"/>
      </w:pPr>
      <w:r w:rsidRPr="00CA7A6F">
        <w:t>Rovněž počet bytových jednotek v Ostrově zaznamenal za dvacetileté období nárůst o 677 bytů.</w:t>
      </w:r>
      <w:r w:rsidR="00CA7A6F" w:rsidRPr="00CA7A6F">
        <w:t xml:space="preserve"> </w:t>
      </w:r>
      <w:r w:rsidRPr="00CA7A6F">
        <w:t>Tento nárůst je dokonce vyšší než v mezidobí 1980-1991, kdy byl</w:t>
      </w:r>
      <w:r w:rsidR="00CA7A6F">
        <w:t xml:space="preserve"> zaznamenán čistý přírůstek 248 </w:t>
      </w:r>
      <w:r w:rsidRPr="00CA7A6F">
        <w:t>b.j.</w:t>
      </w:r>
    </w:p>
    <w:p w:rsidR="00A61B9F" w:rsidRPr="00CA7A6F" w:rsidRDefault="00A61B9F" w:rsidP="00CA7A6F">
      <w:pPr>
        <w:spacing w:before="120" w:after="120"/>
      </w:pPr>
      <w:r w:rsidRPr="00CA7A6F">
        <w:t>Statistika zaznamenala rovněž ke stejnému datu v Ostrově celkem 454 bytových jednotek, které</w:t>
      </w:r>
      <w:r w:rsidR="00CA7A6F" w:rsidRPr="00CA7A6F">
        <w:t xml:space="preserve"> </w:t>
      </w:r>
      <w:r w:rsidRPr="00CA7A6F">
        <w:t>neslouží svému účelu (v Ostrově je celkový počet bytů, tj. trvale obydlených i neobydlených 7 597).</w:t>
      </w:r>
      <w:r w:rsidR="00CA7A6F" w:rsidRPr="00CA7A6F">
        <w:t xml:space="preserve"> </w:t>
      </w:r>
      <w:r w:rsidRPr="00CA7A6F">
        <w:t>Z trvale neobydlených bytových jednotek je největší část 21 b.j. přestavováno, 16 b.j. bez předchozího</w:t>
      </w:r>
      <w:r w:rsidR="00CA7A6F" w:rsidRPr="00CA7A6F">
        <w:t xml:space="preserve"> </w:t>
      </w:r>
      <w:r w:rsidRPr="00CA7A6F">
        <w:t>vyčlenění z bytového fondu slouží k rekreačnímu účelu. S ohledem na poměrně nový bytový fond</w:t>
      </w:r>
      <w:r w:rsidR="00CA7A6F" w:rsidRPr="00CA7A6F">
        <w:t xml:space="preserve"> </w:t>
      </w:r>
      <w:r w:rsidRPr="00CA7A6F">
        <w:t>(převážná část byla postavena po roce 1946) je proti jiným městům obdobné kategorie jen 3,08 %</w:t>
      </w:r>
      <w:r w:rsidR="00CA7A6F" w:rsidRPr="00CA7A6F">
        <w:t xml:space="preserve"> </w:t>
      </w:r>
      <w:r w:rsidRPr="00CA7A6F">
        <w:t>bytových jednotek, které nejsou obydlené z důvodu špatného technického stavu.</w:t>
      </w:r>
    </w:p>
    <w:p w:rsidR="00A61B9F" w:rsidRPr="00CA7A6F" w:rsidRDefault="00A61B9F" w:rsidP="00CA7A6F">
      <w:pPr>
        <w:spacing w:before="120" w:after="120"/>
      </w:pPr>
      <w:r w:rsidRPr="00CA7A6F">
        <w:t>Město Ostrov v současné době disponuje 1003 byty. Celková poptávka po bytech v Ostrově je za</w:t>
      </w:r>
      <w:r w:rsidR="00CA7A6F" w:rsidRPr="00CA7A6F">
        <w:t xml:space="preserve"> </w:t>
      </w:r>
      <w:r w:rsidRPr="00CA7A6F">
        <w:t xml:space="preserve">poslední roky takřka neměnná, občané mají zájem nejen o přidělení bytů obecních, ale informují se </w:t>
      </w:r>
      <w:r w:rsidRPr="00CA7A6F">
        <w:lastRenderedPageBreak/>
        <w:t>i</w:t>
      </w:r>
      <w:r w:rsidR="00CA7A6F" w:rsidRPr="00CA7A6F">
        <w:t xml:space="preserve"> </w:t>
      </w:r>
      <w:r w:rsidRPr="00CA7A6F">
        <w:t>na možnosti pronájmů bytů, které jsou v osobním vlastnictví. Největší zájem o byty projevují mladí lidé</w:t>
      </w:r>
      <w:r w:rsidR="00CA7A6F" w:rsidRPr="00CA7A6F">
        <w:t xml:space="preserve"> </w:t>
      </w:r>
      <w:r w:rsidRPr="00CA7A6F">
        <w:t>a občané ve středním věku. Co se velikosti bytů týče, preferovány jsou stále spíše byty 1+1 u</w:t>
      </w:r>
      <w:r w:rsidR="00CA7A6F" w:rsidRPr="00CA7A6F">
        <w:t xml:space="preserve"> </w:t>
      </w:r>
      <w:r w:rsidRPr="00CA7A6F">
        <w:t>jednotlivců, či svobodných matek, dále byty 2+1 u mladých rodin, zájem je ale také o byty o velikosti</w:t>
      </w:r>
      <w:r w:rsidR="00CA7A6F" w:rsidRPr="00CA7A6F">
        <w:t xml:space="preserve"> </w:t>
      </w:r>
      <w:r w:rsidRPr="00CA7A6F">
        <w:t>3+1. Všeobecně jsou požadovány byty 1. kategorie. Z hlediska výše nájemného žadatelé samozřejmě</w:t>
      </w:r>
      <w:r w:rsidR="00CA7A6F" w:rsidRPr="00CA7A6F">
        <w:t xml:space="preserve"> </w:t>
      </w:r>
      <w:r w:rsidRPr="00CA7A6F">
        <w:t>upřednostňují byty se základním nájemným, ale obsazovány jsou i byty se stanoveným trojnásobným</w:t>
      </w:r>
      <w:r w:rsidR="00CA7A6F" w:rsidRPr="00CA7A6F">
        <w:t xml:space="preserve"> </w:t>
      </w:r>
      <w:r w:rsidRPr="00CA7A6F">
        <w:t>nájemným.</w:t>
      </w:r>
    </w:p>
    <w:p w:rsidR="00A61B9F" w:rsidRPr="00CA7A6F" w:rsidRDefault="00A61B9F" w:rsidP="00CA7A6F">
      <w:pPr>
        <w:spacing w:before="120" w:after="120"/>
      </w:pPr>
      <w:r w:rsidRPr="00CA7A6F">
        <w:t>Podle dalších údajů celostátního censu k datu 1.3. 2001 připadal v Ostrově 2,54 osob</w:t>
      </w:r>
      <w:r w:rsidR="00CA7A6F" w:rsidRPr="00CA7A6F">
        <w:t xml:space="preserve"> </w:t>
      </w:r>
      <w:r w:rsidRPr="00CA7A6F">
        <w:t>na 1 bytovou jednotku, v roce 2011 pak 2,31 osob na 1 bytovou jednotku.</w:t>
      </w:r>
    </w:p>
    <w:p w:rsidR="00A61B9F" w:rsidRPr="00CA7A6F" w:rsidRDefault="00A61B9F" w:rsidP="00CA7A6F">
      <w:pPr>
        <w:spacing w:before="120" w:after="120"/>
      </w:pPr>
      <w:r w:rsidRPr="00CA7A6F">
        <w:t>Na jednu obytnou místnost o minimální velikosti 8 m2 (a více) připadalo v roce 2001 1,09 obyvatele,</w:t>
      </w:r>
      <w:r w:rsidR="00CA7A6F" w:rsidRPr="00CA7A6F">
        <w:t xml:space="preserve"> </w:t>
      </w:r>
      <w:r w:rsidRPr="00CA7A6F">
        <w:t>v roce 2011 již 0,75 obyvatele. Požadavek z PSER 1997, aby každý občan Ostrova měl k</w:t>
      </w:r>
      <w:r w:rsidR="00CA7A6F" w:rsidRPr="00CA7A6F">
        <w:t> </w:t>
      </w:r>
      <w:r w:rsidRPr="00CA7A6F">
        <w:t>dispozici</w:t>
      </w:r>
      <w:r w:rsidR="00CA7A6F" w:rsidRPr="00CA7A6F">
        <w:t xml:space="preserve"> </w:t>
      </w:r>
      <w:r w:rsidRPr="00CA7A6F">
        <w:t>alespoň 1 obytnou místnost, byl naplněn.</w:t>
      </w:r>
    </w:p>
    <w:p w:rsidR="00C36332" w:rsidRDefault="00C36332" w:rsidP="00A61B9F">
      <w:pPr>
        <w:autoSpaceDE w:val="0"/>
        <w:autoSpaceDN w:val="0"/>
        <w:adjustRightInd w:val="0"/>
        <w:spacing w:before="0" w:after="0" w:line="240" w:lineRule="auto"/>
        <w:jc w:val="left"/>
        <w:rPr>
          <w:rFonts w:ascii="ArialMT" w:hAnsi="ArialMT" w:cs="ArialMT"/>
          <w:spacing w:val="0"/>
          <w:szCs w:val="22"/>
          <w:lang w:bidi="ar-SA"/>
        </w:rPr>
      </w:pPr>
    </w:p>
    <w:p w:rsidR="00C36332" w:rsidRDefault="00C36332" w:rsidP="00C36332">
      <w:pPr>
        <w:spacing w:before="0" w:after="120"/>
        <w:rPr>
          <w:rFonts w:cs="Arial-ItalicMT"/>
          <w:iCs/>
          <w:sz w:val="18"/>
          <w:szCs w:val="18"/>
        </w:rPr>
      </w:pPr>
      <w:bookmarkStart w:id="90" w:name="_Toc516059032"/>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23</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sidRPr="00C36332">
        <w:rPr>
          <w:rFonts w:cs="Arial-ItalicMT"/>
          <w:iCs/>
          <w:sz w:val="18"/>
          <w:szCs w:val="18"/>
        </w:rPr>
        <w:t>Kvalitativní ukazatele bytového fondu v porovnání s okresem, krajem a ČR</w:t>
      </w:r>
      <w:bookmarkEnd w:id="90"/>
    </w:p>
    <w:tbl>
      <w:tblPr>
        <w:tblW w:w="9416" w:type="dxa"/>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ayout w:type="fixed"/>
        <w:tblLook w:val="04A0" w:firstRow="1" w:lastRow="0" w:firstColumn="1" w:lastColumn="0" w:noHBand="0" w:noVBand="1"/>
      </w:tblPr>
      <w:tblGrid>
        <w:gridCol w:w="2324"/>
        <w:gridCol w:w="886"/>
        <w:gridCol w:w="887"/>
        <w:gridCol w:w="886"/>
        <w:gridCol w:w="887"/>
        <w:gridCol w:w="886"/>
        <w:gridCol w:w="887"/>
        <w:gridCol w:w="886"/>
        <w:gridCol w:w="887"/>
      </w:tblGrid>
      <w:tr w:rsidR="00F63623" w:rsidRPr="00DA6B2E" w:rsidTr="00C36332">
        <w:trPr>
          <w:tblHeader/>
        </w:trPr>
        <w:tc>
          <w:tcPr>
            <w:tcW w:w="2324" w:type="dxa"/>
            <w:tcBorders>
              <w:top w:val="single" w:sz="12" w:space="0" w:color="372C74"/>
              <w:left w:val="single" w:sz="12" w:space="0" w:color="372C74"/>
              <w:bottom w:val="single" w:sz="12" w:space="0" w:color="FFFFFF"/>
              <w:right w:val="nil"/>
              <w:tl2br w:val="nil"/>
              <w:tr2bl w:val="nil"/>
            </w:tcBorders>
            <w:shd w:val="clear" w:color="auto" w:fill="372C74"/>
            <w:vAlign w:val="center"/>
          </w:tcPr>
          <w:p w:rsidR="00F63623" w:rsidRPr="007026C2" w:rsidRDefault="00F63623" w:rsidP="00A2239D">
            <w:pPr>
              <w:spacing w:before="0" w:after="0" w:line="240" w:lineRule="auto"/>
              <w:jc w:val="center"/>
              <w:rPr>
                <w:b/>
                <w:sz w:val="16"/>
                <w:szCs w:val="16"/>
              </w:rPr>
            </w:pPr>
            <w:r>
              <w:rPr>
                <w:b/>
                <w:sz w:val="16"/>
                <w:szCs w:val="16"/>
              </w:rPr>
              <w:t>Ukazatel</w:t>
            </w:r>
          </w:p>
        </w:tc>
        <w:tc>
          <w:tcPr>
            <w:tcW w:w="886" w:type="dxa"/>
            <w:tcBorders>
              <w:top w:val="single" w:sz="12" w:space="0" w:color="372C74"/>
              <w:left w:val="nil"/>
              <w:bottom w:val="single" w:sz="12" w:space="0" w:color="FFFFFF"/>
              <w:right w:val="nil"/>
              <w:tl2br w:val="nil"/>
              <w:tr2bl w:val="nil"/>
            </w:tcBorders>
            <w:shd w:val="clear" w:color="auto" w:fill="372C74"/>
            <w:vAlign w:val="center"/>
          </w:tcPr>
          <w:p w:rsidR="00F63623" w:rsidRPr="007026C2" w:rsidRDefault="00F63623" w:rsidP="00A2239D">
            <w:pPr>
              <w:spacing w:before="0" w:after="0" w:line="240" w:lineRule="auto"/>
              <w:jc w:val="center"/>
              <w:rPr>
                <w:b/>
                <w:sz w:val="16"/>
                <w:szCs w:val="16"/>
              </w:rPr>
            </w:pPr>
            <w:r>
              <w:rPr>
                <w:b/>
                <w:sz w:val="16"/>
                <w:szCs w:val="16"/>
              </w:rPr>
              <w:t>Ostrov</w:t>
            </w:r>
          </w:p>
        </w:tc>
        <w:tc>
          <w:tcPr>
            <w:tcW w:w="887" w:type="dxa"/>
            <w:tcBorders>
              <w:top w:val="single" w:sz="12" w:space="0" w:color="372C74"/>
              <w:left w:val="nil"/>
              <w:bottom w:val="single" w:sz="12" w:space="0" w:color="FFFFFF"/>
              <w:right w:val="nil"/>
              <w:tl2br w:val="nil"/>
              <w:tr2bl w:val="nil"/>
            </w:tcBorders>
            <w:shd w:val="clear" w:color="auto" w:fill="372C74"/>
            <w:vAlign w:val="center"/>
          </w:tcPr>
          <w:p w:rsidR="00F63623" w:rsidRPr="007026C2" w:rsidRDefault="00F63623" w:rsidP="00A2239D">
            <w:pPr>
              <w:spacing w:before="0" w:after="0" w:line="240" w:lineRule="auto"/>
              <w:jc w:val="center"/>
              <w:rPr>
                <w:b/>
                <w:sz w:val="16"/>
                <w:szCs w:val="16"/>
              </w:rPr>
            </w:pPr>
            <w:r>
              <w:rPr>
                <w:b/>
                <w:sz w:val="16"/>
                <w:szCs w:val="16"/>
              </w:rPr>
              <w:t>Okres KV</w:t>
            </w:r>
          </w:p>
        </w:tc>
        <w:tc>
          <w:tcPr>
            <w:tcW w:w="886" w:type="dxa"/>
            <w:tcBorders>
              <w:top w:val="single" w:sz="12" w:space="0" w:color="372C74"/>
              <w:left w:val="nil"/>
              <w:bottom w:val="single" w:sz="12" w:space="0" w:color="FFFFFF"/>
              <w:right w:val="nil"/>
              <w:tl2br w:val="nil"/>
              <w:tr2bl w:val="nil"/>
            </w:tcBorders>
            <w:shd w:val="clear" w:color="auto" w:fill="372C74"/>
            <w:vAlign w:val="center"/>
          </w:tcPr>
          <w:p w:rsidR="00F63623" w:rsidRPr="007026C2" w:rsidRDefault="00F63623" w:rsidP="00A2239D">
            <w:pPr>
              <w:spacing w:before="0" w:after="0" w:line="240" w:lineRule="auto"/>
              <w:jc w:val="center"/>
              <w:rPr>
                <w:b/>
                <w:sz w:val="16"/>
                <w:szCs w:val="16"/>
              </w:rPr>
            </w:pPr>
            <w:r>
              <w:rPr>
                <w:b/>
                <w:sz w:val="16"/>
                <w:szCs w:val="16"/>
              </w:rPr>
              <w:t>Kraj KV</w:t>
            </w:r>
          </w:p>
        </w:tc>
        <w:tc>
          <w:tcPr>
            <w:tcW w:w="887" w:type="dxa"/>
            <w:tcBorders>
              <w:top w:val="single" w:sz="12" w:space="0" w:color="372C74"/>
              <w:left w:val="nil"/>
              <w:bottom w:val="single" w:sz="12" w:space="0" w:color="FFFFFF"/>
              <w:right w:val="nil"/>
              <w:tl2br w:val="nil"/>
              <w:tr2bl w:val="nil"/>
            </w:tcBorders>
            <w:shd w:val="clear" w:color="auto" w:fill="372C74"/>
            <w:vAlign w:val="center"/>
          </w:tcPr>
          <w:p w:rsidR="00F63623" w:rsidRPr="007026C2" w:rsidRDefault="00F63623" w:rsidP="00A2239D">
            <w:pPr>
              <w:spacing w:before="0" w:after="0" w:line="240" w:lineRule="auto"/>
              <w:jc w:val="center"/>
              <w:rPr>
                <w:b/>
                <w:sz w:val="16"/>
                <w:szCs w:val="16"/>
              </w:rPr>
            </w:pPr>
            <w:r>
              <w:rPr>
                <w:b/>
                <w:sz w:val="16"/>
                <w:szCs w:val="16"/>
              </w:rPr>
              <w:t>ČR</w:t>
            </w:r>
          </w:p>
        </w:tc>
        <w:tc>
          <w:tcPr>
            <w:tcW w:w="886" w:type="dxa"/>
            <w:tcBorders>
              <w:top w:val="single" w:sz="12" w:space="0" w:color="372C74"/>
              <w:left w:val="nil"/>
              <w:bottom w:val="single" w:sz="12" w:space="0" w:color="FFFFFF"/>
              <w:right w:val="nil"/>
              <w:tl2br w:val="nil"/>
              <w:tr2bl w:val="nil"/>
            </w:tcBorders>
            <w:shd w:val="clear" w:color="auto" w:fill="372C74"/>
            <w:vAlign w:val="center"/>
          </w:tcPr>
          <w:p w:rsidR="00F63623" w:rsidRPr="007026C2" w:rsidRDefault="00F63623" w:rsidP="00A2239D">
            <w:pPr>
              <w:spacing w:before="0" w:after="0" w:line="240" w:lineRule="auto"/>
              <w:jc w:val="center"/>
              <w:rPr>
                <w:b/>
                <w:sz w:val="16"/>
                <w:szCs w:val="16"/>
              </w:rPr>
            </w:pPr>
            <w:r>
              <w:rPr>
                <w:b/>
                <w:sz w:val="16"/>
                <w:szCs w:val="16"/>
              </w:rPr>
              <w:t>Ostrov</w:t>
            </w:r>
          </w:p>
        </w:tc>
        <w:tc>
          <w:tcPr>
            <w:tcW w:w="887" w:type="dxa"/>
            <w:tcBorders>
              <w:top w:val="single" w:sz="12" w:space="0" w:color="372C74"/>
              <w:left w:val="nil"/>
              <w:bottom w:val="single" w:sz="12" w:space="0" w:color="FFFFFF"/>
              <w:right w:val="nil"/>
              <w:tl2br w:val="nil"/>
              <w:tr2bl w:val="nil"/>
            </w:tcBorders>
            <w:shd w:val="clear" w:color="auto" w:fill="372C74"/>
            <w:vAlign w:val="center"/>
          </w:tcPr>
          <w:p w:rsidR="00F63623" w:rsidRPr="007026C2" w:rsidRDefault="00F63623" w:rsidP="00A2239D">
            <w:pPr>
              <w:spacing w:before="0" w:after="0" w:line="240" w:lineRule="auto"/>
              <w:jc w:val="center"/>
              <w:rPr>
                <w:b/>
                <w:sz w:val="16"/>
                <w:szCs w:val="16"/>
              </w:rPr>
            </w:pPr>
            <w:r>
              <w:rPr>
                <w:b/>
                <w:sz w:val="16"/>
                <w:szCs w:val="16"/>
              </w:rPr>
              <w:t>Okres KV</w:t>
            </w:r>
          </w:p>
        </w:tc>
        <w:tc>
          <w:tcPr>
            <w:tcW w:w="886" w:type="dxa"/>
            <w:tcBorders>
              <w:top w:val="single" w:sz="12" w:space="0" w:color="372C74"/>
              <w:left w:val="nil"/>
              <w:bottom w:val="single" w:sz="12" w:space="0" w:color="FFFFFF"/>
              <w:right w:val="nil"/>
              <w:tl2br w:val="nil"/>
              <w:tr2bl w:val="nil"/>
            </w:tcBorders>
            <w:shd w:val="clear" w:color="auto" w:fill="372C74"/>
            <w:vAlign w:val="center"/>
          </w:tcPr>
          <w:p w:rsidR="00F63623" w:rsidRPr="007026C2" w:rsidRDefault="00F63623" w:rsidP="00A2239D">
            <w:pPr>
              <w:spacing w:before="0" w:after="0" w:line="240" w:lineRule="auto"/>
              <w:jc w:val="center"/>
              <w:rPr>
                <w:b/>
                <w:sz w:val="16"/>
                <w:szCs w:val="16"/>
              </w:rPr>
            </w:pPr>
            <w:r>
              <w:rPr>
                <w:b/>
                <w:sz w:val="16"/>
                <w:szCs w:val="16"/>
              </w:rPr>
              <w:t>Kraj KV</w:t>
            </w:r>
          </w:p>
        </w:tc>
        <w:tc>
          <w:tcPr>
            <w:tcW w:w="887" w:type="dxa"/>
            <w:tcBorders>
              <w:top w:val="single" w:sz="12" w:space="0" w:color="372C74"/>
              <w:left w:val="nil"/>
              <w:bottom w:val="single" w:sz="12" w:space="0" w:color="FFFFFF"/>
              <w:right w:val="single" w:sz="12" w:space="0" w:color="372C74"/>
              <w:tl2br w:val="nil"/>
              <w:tr2bl w:val="nil"/>
            </w:tcBorders>
            <w:shd w:val="clear" w:color="auto" w:fill="372C74"/>
            <w:vAlign w:val="center"/>
          </w:tcPr>
          <w:p w:rsidR="00F63623" w:rsidRPr="007026C2" w:rsidRDefault="00F63623" w:rsidP="00A2239D">
            <w:pPr>
              <w:spacing w:before="0" w:after="0" w:line="240" w:lineRule="auto"/>
              <w:jc w:val="center"/>
              <w:rPr>
                <w:b/>
                <w:sz w:val="16"/>
                <w:szCs w:val="16"/>
              </w:rPr>
            </w:pPr>
            <w:r>
              <w:rPr>
                <w:b/>
                <w:sz w:val="16"/>
                <w:szCs w:val="16"/>
              </w:rPr>
              <w:t>ČR</w:t>
            </w:r>
          </w:p>
        </w:tc>
      </w:tr>
      <w:tr w:rsidR="00C36332" w:rsidRPr="00C36332" w:rsidTr="00C36332">
        <w:trPr>
          <w:trHeight w:val="492"/>
          <w:tblHeader/>
        </w:trPr>
        <w:tc>
          <w:tcPr>
            <w:tcW w:w="2324" w:type="dxa"/>
            <w:tcBorders>
              <w:top w:val="single" w:sz="12" w:space="0" w:color="FFFFFF"/>
              <w:left w:val="single" w:sz="12" w:space="0" w:color="372C74"/>
              <w:bottom w:val="single" w:sz="12" w:space="0" w:color="FFFFFF"/>
              <w:right w:val="nil"/>
              <w:tl2br w:val="nil"/>
              <w:tr2bl w:val="nil"/>
            </w:tcBorders>
            <w:shd w:val="clear" w:color="auto" w:fill="372C74"/>
            <w:vAlign w:val="center"/>
          </w:tcPr>
          <w:p w:rsidR="00C36332" w:rsidRPr="00C36332" w:rsidRDefault="00C36332" w:rsidP="00A2239D">
            <w:pPr>
              <w:spacing w:before="0" w:after="0" w:line="240" w:lineRule="auto"/>
              <w:jc w:val="center"/>
              <w:rPr>
                <w:b/>
                <w:sz w:val="16"/>
                <w:szCs w:val="16"/>
              </w:rPr>
            </w:pPr>
          </w:p>
        </w:tc>
        <w:tc>
          <w:tcPr>
            <w:tcW w:w="886" w:type="dxa"/>
            <w:tcBorders>
              <w:top w:val="single" w:sz="12" w:space="0" w:color="FFFFFF"/>
              <w:left w:val="nil"/>
              <w:bottom w:val="single" w:sz="12" w:space="0" w:color="FFFFFF"/>
              <w:right w:val="nil"/>
              <w:tl2br w:val="nil"/>
              <w:tr2bl w:val="nil"/>
            </w:tcBorders>
            <w:shd w:val="clear" w:color="auto" w:fill="372C74"/>
            <w:vAlign w:val="center"/>
          </w:tcPr>
          <w:p w:rsidR="00C36332" w:rsidRPr="00C36332" w:rsidRDefault="00C36332" w:rsidP="00A2239D">
            <w:pPr>
              <w:spacing w:before="0" w:after="0" w:line="240" w:lineRule="auto"/>
              <w:jc w:val="center"/>
              <w:rPr>
                <w:b/>
                <w:sz w:val="16"/>
                <w:szCs w:val="16"/>
              </w:rPr>
            </w:pPr>
            <w:r w:rsidRPr="00C36332">
              <w:rPr>
                <w:b/>
                <w:sz w:val="16"/>
                <w:szCs w:val="16"/>
              </w:rPr>
              <w:t>2001</w:t>
            </w:r>
          </w:p>
        </w:tc>
        <w:tc>
          <w:tcPr>
            <w:tcW w:w="887" w:type="dxa"/>
            <w:tcBorders>
              <w:top w:val="single" w:sz="12" w:space="0" w:color="FFFFFF"/>
              <w:left w:val="nil"/>
              <w:bottom w:val="single" w:sz="12" w:space="0" w:color="FFFFFF"/>
              <w:right w:val="nil"/>
              <w:tl2br w:val="nil"/>
              <w:tr2bl w:val="nil"/>
            </w:tcBorders>
            <w:shd w:val="clear" w:color="auto" w:fill="372C74"/>
            <w:vAlign w:val="center"/>
          </w:tcPr>
          <w:p w:rsidR="00C36332" w:rsidRPr="00C36332" w:rsidRDefault="00C36332" w:rsidP="00A2239D">
            <w:pPr>
              <w:spacing w:before="0" w:after="0" w:line="240" w:lineRule="auto"/>
              <w:jc w:val="center"/>
              <w:rPr>
                <w:b/>
                <w:sz w:val="16"/>
                <w:szCs w:val="16"/>
              </w:rPr>
            </w:pPr>
            <w:r>
              <w:rPr>
                <w:b/>
                <w:sz w:val="16"/>
                <w:szCs w:val="16"/>
              </w:rPr>
              <w:t>2001</w:t>
            </w:r>
          </w:p>
        </w:tc>
        <w:tc>
          <w:tcPr>
            <w:tcW w:w="886" w:type="dxa"/>
            <w:tcBorders>
              <w:top w:val="single" w:sz="12" w:space="0" w:color="FFFFFF"/>
              <w:left w:val="nil"/>
              <w:bottom w:val="single" w:sz="12" w:space="0" w:color="FFFFFF"/>
              <w:right w:val="nil"/>
              <w:tl2br w:val="nil"/>
              <w:tr2bl w:val="nil"/>
            </w:tcBorders>
            <w:shd w:val="clear" w:color="auto" w:fill="372C74"/>
            <w:vAlign w:val="center"/>
          </w:tcPr>
          <w:p w:rsidR="00C36332" w:rsidRPr="00C36332" w:rsidRDefault="00C36332" w:rsidP="00A2239D">
            <w:pPr>
              <w:spacing w:before="0" w:after="0" w:line="240" w:lineRule="auto"/>
              <w:jc w:val="center"/>
              <w:rPr>
                <w:b/>
                <w:sz w:val="16"/>
                <w:szCs w:val="16"/>
              </w:rPr>
            </w:pPr>
            <w:r>
              <w:rPr>
                <w:b/>
                <w:sz w:val="16"/>
                <w:szCs w:val="16"/>
              </w:rPr>
              <w:t>2001</w:t>
            </w:r>
          </w:p>
        </w:tc>
        <w:tc>
          <w:tcPr>
            <w:tcW w:w="887" w:type="dxa"/>
            <w:tcBorders>
              <w:top w:val="single" w:sz="12" w:space="0" w:color="FFFFFF"/>
              <w:left w:val="nil"/>
              <w:bottom w:val="single" w:sz="12" w:space="0" w:color="FFFFFF"/>
              <w:right w:val="nil"/>
              <w:tl2br w:val="nil"/>
              <w:tr2bl w:val="nil"/>
            </w:tcBorders>
            <w:shd w:val="clear" w:color="auto" w:fill="372C74"/>
            <w:vAlign w:val="center"/>
          </w:tcPr>
          <w:p w:rsidR="00C36332" w:rsidRPr="00C36332" w:rsidRDefault="00C36332" w:rsidP="00A2239D">
            <w:pPr>
              <w:spacing w:before="0" w:after="0" w:line="240" w:lineRule="auto"/>
              <w:jc w:val="center"/>
              <w:rPr>
                <w:b/>
                <w:sz w:val="16"/>
                <w:szCs w:val="16"/>
              </w:rPr>
            </w:pPr>
            <w:r>
              <w:rPr>
                <w:b/>
                <w:sz w:val="16"/>
                <w:szCs w:val="16"/>
              </w:rPr>
              <w:t>2001</w:t>
            </w:r>
          </w:p>
        </w:tc>
        <w:tc>
          <w:tcPr>
            <w:tcW w:w="886" w:type="dxa"/>
            <w:tcBorders>
              <w:top w:val="single" w:sz="12" w:space="0" w:color="FFFFFF"/>
              <w:left w:val="nil"/>
              <w:bottom w:val="single" w:sz="12" w:space="0" w:color="FFFFFF"/>
              <w:right w:val="nil"/>
              <w:tl2br w:val="nil"/>
              <w:tr2bl w:val="nil"/>
            </w:tcBorders>
            <w:shd w:val="clear" w:color="auto" w:fill="372C74"/>
            <w:vAlign w:val="center"/>
          </w:tcPr>
          <w:p w:rsidR="00C36332" w:rsidRPr="00C36332" w:rsidRDefault="00C36332" w:rsidP="00A2239D">
            <w:pPr>
              <w:spacing w:before="0" w:after="0" w:line="240" w:lineRule="auto"/>
              <w:jc w:val="center"/>
              <w:rPr>
                <w:b/>
                <w:sz w:val="16"/>
                <w:szCs w:val="16"/>
              </w:rPr>
            </w:pPr>
            <w:r>
              <w:rPr>
                <w:b/>
                <w:sz w:val="16"/>
                <w:szCs w:val="16"/>
              </w:rPr>
              <w:t>2011</w:t>
            </w:r>
          </w:p>
        </w:tc>
        <w:tc>
          <w:tcPr>
            <w:tcW w:w="887" w:type="dxa"/>
            <w:tcBorders>
              <w:top w:val="single" w:sz="12" w:space="0" w:color="FFFFFF"/>
              <w:left w:val="nil"/>
              <w:bottom w:val="single" w:sz="12" w:space="0" w:color="FFFFFF"/>
              <w:right w:val="nil"/>
              <w:tl2br w:val="nil"/>
              <w:tr2bl w:val="nil"/>
            </w:tcBorders>
            <w:shd w:val="clear" w:color="auto" w:fill="372C74"/>
            <w:vAlign w:val="center"/>
          </w:tcPr>
          <w:p w:rsidR="00C36332" w:rsidRPr="00C36332" w:rsidRDefault="00C36332" w:rsidP="00A2239D">
            <w:pPr>
              <w:spacing w:before="0" w:after="0" w:line="240" w:lineRule="auto"/>
              <w:jc w:val="center"/>
              <w:rPr>
                <w:b/>
                <w:sz w:val="16"/>
                <w:szCs w:val="16"/>
              </w:rPr>
            </w:pPr>
            <w:r>
              <w:rPr>
                <w:b/>
                <w:sz w:val="16"/>
                <w:szCs w:val="16"/>
              </w:rPr>
              <w:t>2011</w:t>
            </w:r>
          </w:p>
        </w:tc>
        <w:tc>
          <w:tcPr>
            <w:tcW w:w="886" w:type="dxa"/>
            <w:tcBorders>
              <w:top w:val="single" w:sz="12" w:space="0" w:color="FFFFFF"/>
              <w:left w:val="nil"/>
              <w:bottom w:val="single" w:sz="12" w:space="0" w:color="FFFFFF"/>
              <w:right w:val="nil"/>
              <w:tl2br w:val="nil"/>
              <w:tr2bl w:val="nil"/>
            </w:tcBorders>
            <w:shd w:val="clear" w:color="auto" w:fill="372C74"/>
            <w:vAlign w:val="center"/>
          </w:tcPr>
          <w:p w:rsidR="00C36332" w:rsidRPr="00C36332" w:rsidRDefault="00C36332" w:rsidP="00A2239D">
            <w:pPr>
              <w:spacing w:before="0" w:after="0" w:line="240" w:lineRule="auto"/>
              <w:jc w:val="center"/>
              <w:rPr>
                <w:b/>
                <w:sz w:val="16"/>
                <w:szCs w:val="16"/>
              </w:rPr>
            </w:pPr>
            <w:r>
              <w:rPr>
                <w:b/>
                <w:sz w:val="16"/>
                <w:szCs w:val="16"/>
              </w:rPr>
              <w:t>2011</w:t>
            </w:r>
          </w:p>
        </w:tc>
        <w:tc>
          <w:tcPr>
            <w:tcW w:w="887" w:type="dxa"/>
            <w:tcBorders>
              <w:top w:val="single" w:sz="12" w:space="0" w:color="FFFFFF"/>
              <w:left w:val="nil"/>
              <w:bottom w:val="single" w:sz="12" w:space="0" w:color="FFFFFF"/>
              <w:right w:val="single" w:sz="12" w:space="0" w:color="372C74"/>
              <w:tl2br w:val="nil"/>
              <w:tr2bl w:val="nil"/>
            </w:tcBorders>
            <w:shd w:val="clear" w:color="auto" w:fill="372C74"/>
            <w:vAlign w:val="center"/>
          </w:tcPr>
          <w:p w:rsidR="00C36332" w:rsidRPr="00C36332" w:rsidRDefault="00F63623" w:rsidP="00A2239D">
            <w:pPr>
              <w:spacing w:before="0" w:after="0" w:line="240" w:lineRule="auto"/>
              <w:jc w:val="center"/>
              <w:rPr>
                <w:b/>
                <w:sz w:val="16"/>
                <w:szCs w:val="16"/>
              </w:rPr>
            </w:pPr>
            <w:r>
              <w:rPr>
                <w:b/>
                <w:sz w:val="16"/>
                <w:szCs w:val="16"/>
              </w:rPr>
              <w:t>2011</w:t>
            </w:r>
          </w:p>
        </w:tc>
      </w:tr>
      <w:tr w:rsidR="00C36332" w:rsidRPr="00DA6B2E" w:rsidTr="00C36332">
        <w:tc>
          <w:tcPr>
            <w:tcW w:w="2324" w:type="dxa"/>
            <w:tcBorders>
              <w:top w:val="single" w:sz="12" w:space="0" w:color="FFFFFF"/>
              <w:left w:val="single" w:sz="12" w:space="0" w:color="372C74"/>
              <w:bottom w:val="nil"/>
              <w:right w:val="single" w:sz="12" w:space="0" w:color="372C74"/>
              <w:tl2br w:val="nil"/>
              <w:tr2bl w:val="nil"/>
            </w:tcBorders>
            <w:shd w:val="clear" w:color="auto" w:fill="auto"/>
            <w:vAlign w:val="center"/>
          </w:tcPr>
          <w:p w:rsidR="00C36332" w:rsidRPr="00C36332" w:rsidRDefault="00C36332" w:rsidP="00C36332">
            <w:pPr>
              <w:autoSpaceDE w:val="0"/>
              <w:autoSpaceDN w:val="0"/>
              <w:adjustRightInd w:val="0"/>
              <w:spacing w:before="0" w:after="0" w:line="240" w:lineRule="auto"/>
              <w:jc w:val="left"/>
              <w:rPr>
                <w:rFonts w:asciiTheme="minorHAnsi" w:hAnsiTheme="minorHAnsi" w:cs="ArialMT"/>
                <w:spacing w:val="0"/>
                <w:sz w:val="16"/>
                <w:szCs w:val="16"/>
                <w:lang w:bidi="ar-SA"/>
              </w:rPr>
            </w:pPr>
            <w:r w:rsidRPr="00C36332">
              <w:rPr>
                <w:rFonts w:asciiTheme="minorHAnsi" w:hAnsiTheme="minorHAnsi" w:cs="ArialMT"/>
                <w:spacing w:val="0"/>
                <w:sz w:val="16"/>
                <w:szCs w:val="16"/>
                <w:lang w:bidi="ar-SA"/>
              </w:rPr>
              <w:t>Počet osob na bytovou jednotku</w:t>
            </w:r>
          </w:p>
        </w:tc>
        <w:tc>
          <w:tcPr>
            <w:tcW w:w="886" w:type="dxa"/>
            <w:tcBorders>
              <w:top w:val="single" w:sz="12" w:space="0" w:color="FFFFFF"/>
            </w:tcBorders>
            <w:shd w:val="clear" w:color="auto" w:fill="auto"/>
            <w:vAlign w:val="center"/>
          </w:tcPr>
          <w:p w:rsidR="00C36332" w:rsidRPr="007026C2" w:rsidRDefault="00C36332"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2,54</w:t>
            </w:r>
          </w:p>
        </w:tc>
        <w:tc>
          <w:tcPr>
            <w:tcW w:w="887" w:type="dxa"/>
            <w:tcBorders>
              <w:top w:val="single" w:sz="12" w:space="0" w:color="FFFFFF"/>
            </w:tcBorders>
            <w:shd w:val="clear" w:color="auto" w:fill="auto"/>
            <w:vAlign w:val="center"/>
          </w:tcPr>
          <w:p w:rsidR="00C36332" w:rsidRPr="007026C2" w:rsidRDefault="00C36332" w:rsidP="00A2239D">
            <w:pPr>
              <w:spacing w:before="0" w:after="0" w:line="240" w:lineRule="auto"/>
              <w:jc w:val="center"/>
              <w:rPr>
                <w:rFonts w:cs="Arial"/>
                <w:i/>
                <w:sz w:val="16"/>
                <w:szCs w:val="16"/>
              </w:rPr>
            </w:pPr>
            <w:r w:rsidRPr="00C36332">
              <w:rPr>
                <w:rFonts w:asciiTheme="minorHAnsi" w:hAnsiTheme="minorHAnsi" w:cs="ArialMT"/>
                <w:spacing w:val="0"/>
                <w:sz w:val="16"/>
                <w:szCs w:val="16"/>
                <w:lang w:bidi="ar-SA"/>
              </w:rPr>
              <w:t>2,56</w:t>
            </w:r>
          </w:p>
        </w:tc>
        <w:tc>
          <w:tcPr>
            <w:tcW w:w="886" w:type="dxa"/>
            <w:tcBorders>
              <w:top w:val="single" w:sz="12" w:space="0" w:color="FFFFFF"/>
            </w:tcBorders>
            <w:shd w:val="clear" w:color="auto" w:fill="auto"/>
            <w:vAlign w:val="center"/>
          </w:tcPr>
          <w:p w:rsidR="00C36332" w:rsidRPr="007026C2" w:rsidRDefault="00C36332" w:rsidP="00A2239D">
            <w:pPr>
              <w:spacing w:before="0" w:after="0" w:line="240" w:lineRule="auto"/>
              <w:jc w:val="center"/>
              <w:rPr>
                <w:i/>
                <w:sz w:val="16"/>
                <w:szCs w:val="16"/>
              </w:rPr>
            </w:pPr>
            <w:r w:rsidRPr="00C36332">
              <w:rPr>
                <w:rFonts w:asciiTheme="minorHAnsi" w:hAnsiTheme="minorHAnsi" w:cs="ArialMT"/>
                <w:spacing w:val="0"/>
                <w:sz w:val="16"/>
                <w:szCs w:val="16"/>
                <w:lang w:bidi="ar-SA"/>
              </w:rPr>
              <w:t>2,58</w:t>
            </w:r>
          </w:p>
        </w:tc>
        <w:tc>
          <w:tcPr>
            <w:tcW w:w="887" w:type="dxa"/>
            <w:tcBorders>
              <w:top w:val="single" w:sz="12" w:space="0" w:color="FFFFFF"/>
            </w:tcBorders>
            <w:shd w:val="clear" w:color="auto" w:fill="auto"/>
            <w:vAlign w:val="center"/>
          </w:tcPr>
          <w:p w:rsidR="00C36332" w:rsidRPr="007026C2" w:rsidRDefault="00C36332" w:rsidP="00A2239D">
            <w:pPr>
              <w:spacing w:before="0" w:after="0" w:line="240" w:lineRule="auto"/>
              <w:jc w:val="center"/>
              <w:rPr>
                <w:i/>
                <w:sz w:val="16"/>
                <w:szCs w:val="16"/>
              </w:rPr>
            </w:pPr>
            <w:r w:rsidRPr="00C36332">
              <w:rPr>
                <w:rFonts w:asciiTheme="minorHAnsi" w:hAnsiTheme="minorHAnsi" w:cs="ArialMT"/>
                <w:spacing w:val="0"/>
                <w:sz w:val="16"/>
                <w:szCs w:val="16"/>
                <w:lang w:bidi="ar-SA"/>
              </w:rPr>
              <w:t>2,64</w:t>
            </w:r>
          </w:p>
        </w:tc>
        <w:tc>
          <w:tcPr>
            <w:tcW w:w="886" w:type="dxa"/>
            <w:tcBorders>
              <w:top w:val="single" w:sz="12" w:space="0" w:color="FFFFFF"/>
            </w:tcBorders>
            <w:shd w:val="clear" w:color="auto" w:fill="auto"/>
            <w:vAlign w:val="center"/>
          </w:tcPr>
          <w:p w:rsidR="00C36332" w:rsidRPr="007026C2" w:rsidRDefault="00C36332" w:rsidP="00A2239D">
            <w:pPr>
              <w:spacing w:before="0" w:after="0" w:line="240" w:lineRule="auto"/>
              <w:jc w:val="center"/>
              <w:rPr>
                <w:sz w:val="16"/>
                <w:szCs w:val="16"/>
              </w:rPr>
            </w:pPr>
            <w:r w:rsidRPr="00C36332">
              <w:rPr>
                <w:rFonts w:asciiTheme="minorHAnsi" w:hAnsiTheme="minorHAnsi" w:cs="ArialMT"/>
                <w:spacing w:val="0"/>
                <w:sz w:val="16"/>
                <w:szCs w:val="16"/>
                <w:lang w:bidi="ar-SA"/>
              </w:rPr>
              <w:t>2,31</w:t>
            </w:r>
          </w:p>
        </w:tc>
        <w:tc>
          <w:tcPr>
            <w:tcW w:w="887" w:type="dxa"/>
            <w:tcBorders>
              <w:top w:val="single" w:sz="12" w:space="0" w:color="FFFFFF"/>
            </w:tcBorders>
            <w:shd w:val="clear" w:color="auto" w:fill="auto"/>
            <w:vAlign w:val="center"/>
          </w:tcPr>
          <w:p w:rsidR="00C36332" w:rsidRPr="007026C2" w:rsidRDefault="00C36332" w:rsidP="00A2239D">
            <w:pPr>
              <w:spacing w:before="0" w:after="0" w:line="240" w:lineRule="auto"/>
              <w:jc w:val="center"/>
              <w:rPr>
                <w:sz w:val="16"/>
                <w:szCs w:val="16"/>
              </w:rPr>
            </w:pPr>
            <w:r w:rsidRPr="00C36332">
              <w:rPr>
                <w:rFonts w:asciiTheme="minorHAnsi" w:hAnsiTheme="minorHAnsi" w:cs="ArialMT"/>
                <w:spacing w:val="0"/>
                <w:sz w:val="16"/>
                <w:szCs w:val="16"/>
                <w:lang w:bidi="ar-SA"/>
              </w:rPr>
              <w:t>2,36</w:t>
            </w:r>
          </w:p>
        </w:tc>
        <w:tc>
          <w:tcPr>
            <w:tcW w:w="886" w:type="dxa"/>
            <w:tcBorders>
              <w:top w:val="single" w:sz="12" w:space="0" w:color="FFFFFF"/>
            </w:tcBorders>
            <w:shd w:val="clear" w:color="auto" w:fill="auto"/>
            <w:vAlign w:val="center"/>
          </w:tcPr>
          <w:p w:rsidR="00C36332" w:rsidRPr="007026C2" w:rsidRDefault="00C36332"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2,38</w:t>
            </w:r>
          </w:p>
        </w:tc>
        <w:tc>
          <w:tcPr>
            <w:tcW w:w="887" w:type="dxa"/>
            <w:tcBorders>
              <w:top w:val="single" w:sz="12" w:space="0" w:color="FFFFFF"/>
            </w:tcBorders>
            <w:shd w:val="clear" w:color="auto" w:fill="auto"/>
            <w:vAlign w:val="center"/>
          </w:tcPr>
          <w:p w:rsidR="00C36332" w:rsidRPr="00C36332" w:rsidRDefault="00C36332" w:rsidP="00C36332">
            <w:pPr>
              <w:autoSpaceDE w:val="0"/>
              <w:autoSpaceDN w:val="0"/>
              <w:adjustRightInd w:val="0"/>
              <w:spacing w:before="0" w:after="0" w:line="240" w:lineRule="auto"/>
              <w:jc w:val="center"/>
              <w:rPr>
                <w:rFonts w:asciiTheme="minorHAnsi" w:hAnsiTheme="minorHAnsi" w:cs="ArialMT"/>
                <w:spacing w:val="0"/>
                <w:sz w:val="16"/>
                <w:szCs w:val="16"/>
                <w:lang w:bidi="ar-SA"/>
              </w:rPr>
            </w:pPr>
            <w:r w:rsidRPr="00C36332">
              <w:rPr>
                <w:rFonts w:asciiTheme="minorHAnsi" w:hAnsiTheme="minorHAnsi" w:cs="ArialMT"/>
                <w:spacing w:val="0"/>
                <w:sz w:val="16"/>
                <w:szCs w:val="16"/>
                <w:lang w:bidi="ar-SA"/>
              </w:rPr>
              <w:t>2,47</w:t>
            </w:r>
          </w:p>
        </w:tc>
      </w:tr>
      <w:tr w:rsidR="00C36332" w:rsidRPr="00DA6B2E" w:rsidTr="00C36332">
        <w:tc>
          <w:tcPr>
            <w:tcW w:w="2324" w:type="dxa"/>
            <w:tcBorders>
              <w:left w:val="single" w:sz="12" w:space="0" w:color="372C74"/>
              <w:right w:val="single" w:sz="12" w:space="0" w:color="372C74"/>
              <w:tl2br w:val="nil"/>
              <w:tr2bl w:val="nil"/>
            </w:tcBorders>
            <w:shd w:val="clear" w:color="auto" w:fill="auto"/>
            <w:vAlign w:val="center"/>
          </w:tcPr>
          <w:p w:rsidR="00C36332" w:rsidRPr="00C36332" w:rsidRDefault="00C36332" w:rsidP="00C36332">
            <w:pPr>
              <w:autoSpaceDE w:val="0"/>
              <w:autoSpaceDN w:val="0"/>
              <w:adjustRightInd w:val="0"/>
              <w:spacing w:before="0" w:after="0" w:line="240" w:lineRule="auto"/>
              <w:jc w:val="left"/>
              <w:rPr>
                <w:rFonts w:asciiTheme="minorHAnsi" w:hAnsiTheme="minorHAnsi" w:cs="ArialMT"/>
                <w:spacing w:val="0"/>
                <w:sz w:val="16"/>
                <w:szCs w:val="16"/>
                <w:lang w:bidi="ar-SA"/>
              </w:rPr>
            </w:pPr>
            <w:r w:rsidRPr="00C36332">
              <w:rPr>
                <w:rFonts w:asciiTheme="minorHAnsi" w:hAnsiTheme="minorHAnsi" w:cs="ArialMT"/>
                <w:spacing w:val="0"/>
                <w:sz w:val="16"/>
                <w:szCs w:val="16"/>
                <w:lang w:bidi="ar-SA"/>
              </w:rPr>
              <w:t>Počet osob na ob. místnost</w:t>
            </w:r>
          </w:p>
        </w:tc>
        <w:tc>
          <w:tcPr>
            <w:tcW w:w="886" w:type="dxa"/>
            <w:shd w:val="clear" w:color="auto" w:fill="auto"/>
            <w:vAlign w:val="center"/>
          </w:tcPr>
          <w:p w:rsidR="00C36332" w:rsidRPr="007026C2" w:rsidRDefault="00C36332"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1,09</w:t>
            </w:r>
          </w:p>
        </w:tc>
        <w:tc>
          <w:tcPr>
            <w:tcW w:w="887" w:type="dxa"/>
            <w:shd w:val="clear" w:color="auto" w:fill="auto"/>
            <w:vAlign w:val="center"/>
          </w:tcPr>
          <w:p w:rsidR="00C36332" w:rsidRPr="007026C2" w:rsidRDefault="00C36332" w:rsidP="00A2239D">
            <w:pPr>
              <w:spacing w:before="0" w:after="0" w:line="240" w:lineRule="auto"/>
              <w:jc w:val="center"/>
              <w:rPr>
                <w:rFonts w:cs="Arial"/>
                <w:i/>
                <w:sz w:val="16"/>
                <w:szCs w:val="16"/>
              </w:rPr>
            </w:pPr>
            <w:r w:rsidRPr="00C36332">
              <w:rPr>
                <w:rFonts w:asciiTheme="minorHAnsi" w:hAnsiTheme="minorHAnsi" w:cs="ArialMT"/>
                <w:spacing w:val="0"/>
                <w:sz w:val="16"/>
                <w:szCs w:val="16"/>
                <w:lang w:bidi="ar-SA"/>
              </w:rPr>
              <w:t>1,03</w:t>
            </w:r>
          </w:p>
        </w:tc>
        <w:tc>
          <w:tcPr>
            <w:tcW w:w="886" w:type="dxa"/>
            <w:shd w:val="clear" w:color="auto" w:fill="auto"/>
            <w:vAlign w:val="center"/>
          </w:tcPr>
          <w:p w:rsidR="00C36332" w:rsidRPr="007026C2" w:rsidRDefault="00C36332" w:rsidP="00A2239D">
            <w:pPr>
              <w:spacing w:before="0" w:after="0" w:line="240" w:lineRule="auto"/>
              <w:jc w:val="center"/>
              <w:rPr>
                <w:i/>
                <w:sz w:val="16"/>
                <w:szCs w:val="16"/>
              </w:rPr>
            </w:pPr>
            <w:r w:rsidRPr="00C36332">
              <w:rPr>
                <w:rFonts w:asciiTheme="minorHAnsi" w:hAnsiTheme="minorHAnsi" w:cs="ArialMT"/>
                <w:spacing w:val="0"/>
                <w:sz w:val="16"/>
                <w:szCs w:val="16"/>
                <w:lang w:bidi="ar-SA"/>
              </w:rPr>
              <w:t>1,04</w:t>
            </w:r>
          </w:p>
        </w:tc>
        <w:tc>
          <w:tcPr>
            <w:tcW w:w="887" w:type="dxa"/>
            <w:shd w:val="clear" w:color="auto" w:fill="auto"/>
            <w:vAlign w:val="center"/>
          </w:tcPr>
          <w:p w:rsidR="00C36332" w:rsidRPr="007026C2" w:rsidRDefault="00C36332" w:rsidP="00A2239D">
            <w:pPr>
              <w:spacing w:before="0" w:after="0" w:line="240" w:lineRule="auto"/>
              <w:jc w:val="center"/>
              <w:rPr>
                <w:i/>
                <w:sz w:val="16"/>
                <w:szCs w:val="16"/>
              </w:rPr>
            </w:pPr>
            <w:r w:rsidRPr="00C36332">
              <w:rPr>
                <w:rFonts w:asciiTheme="minorHAnsi" w:hAnsiTheme="minorHAnsi" w:cs="ArialMT"/>
                <w:spacing w:val="0"/>
                <w:sz w:val="16"/>
                <w:szCs w:val="16"/>
                <w:lang w:bidi="ar-SA"/>
              </w:rPr>
              <w:t>0,98</w:t>
            </w:r>
          </w:p>
        </w:tc>
        <w:tc>
          <w:tcPr>
            <w:tcW w:w="886" w:type="dxa"/>
            <w:shd w:val="clear" w:color="auto" w:fill="auto"/>
            <w:vAlign w:val="center"/>
          </w:tcPr>
          <w:p w:rsidR="00C36332" w:rsidRPr="007026C2" w:rsidRDefault="00C36332" w:rsidP="00A2239D">
            <w:pPr>
              <w:spacing w:before="0" w:after="0" w:line="240" w:lineRule="auto"/>
              <w:jc w:val="center"/>
              <w:rPr>
                <w:sz w:val="16"/>
                <w:szCs w:val="16"/>
              </w:rPr>
            </w:pPr>
            <w:r w:rsidRPr="00C36332">
              <w:rPr>
                <w:rFonts w:asciiTheme="minorHAnsi" w:hAnsiTheme="minorHAnsi" w:cs="ArialMT"/>
                <w:spacing w:val="0"/>
                <w:sz w:val="16"/>
                <w:szCs w:val="16"/>
                <w:lang w:bidi="ar-SA"/>
              </w:rPr>
              <w:t>0,75</w:t>
            </w:r>
          </w:p>
        </w:tc>
        <w:tc>
          <w:tcPr>
            <w:tcW w:w="887" w:type="dxa"/>
            <w:shd w:val="clear" w:color="auto" w:fill="auto"/>
            <w:vAlign w:val="center"/>
          </w:tcPr>
          <w:p w:rsidR="00C36332" w:rsidRPr="007026C2" w:rsidRDefault="00C36332" w:rsidP="00A2239D">
            <w:pPr>
              <w:spacing w:before="0" w:after="0" w:line="240" w:lineRule="auto"/>
              <w:jc w:val="center"/>
              <w:rPr>
                <w:sz w:val="16"/>
                <w:szCs w:val="16"/>
              </w:rPr>
            </w:pPr>
            <w:r w:rsidRPr="00C36332">
              <w:rPr>
                <w:rFonts w:asciiTheme="minorHAnsi" w:hAnsiTheme="minorHAnsi" w:cs="ArialMT"/>
                <w:spacing w:val="0"/>
                <w:sz w:val="16"/>
                <w:szCs w:val="16"/>
                <w:lang w:bidi="ar-SA"/>
              </w:rPr>
              <w:t>0,77</w:t>
            </w:r>
          </w:p>
        </w:tc>
        <w:tc>
          <w:tcPr>
            <w:tcW w:w="886" w:type="dxa"/>
            <w:shd w:val="clear" w:color="auto" w:fill="auto"/>
            <w:vAlign w:val="center"/>
          </w:tcPr>
          <w:p w:rsidR="00C36332" w:rsidRPr="007026C2" w:rsidRDefault="00C36332"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0,77</w:t>
            </w:r>
          </w:p>
        </w:tc>
        <w:tc>
          <w:tcPr>
            <w:tcW w:w="887" w:type="dxa"/>
            <w:shd w:val="clear" w:color="auto" w:fill="auto"/>
            <w:vAlign w:val="center"/>
          </w:tcPr>
          <w:p w:rsidR="00C36332" w:rsidRPr="007026C2" w:rsidRDefault="00C36332" w:rsidP="00F63623">
            <w:pPr>
              <w:autoSpaceDE w:val="0"/>
              <w:autoSpaceDN w:val="0"/>
              <w:adjustRightInd w:val="0"/>
              <w:spacing w:before="0" w:after="0" w:line="240" w:lineRule="auto"/>
              <w:jc w:val="center"/>
              <w:rPr>
                <w:rFonts w:cs="Arial"/>
                <w:sz w:val="16"/>
                <w:szCs w:val="16"/>
              </w:rPr>
            </w:pPr>
            <w:r w:rsidRPr="00C36332">
              <w:rPr>
                <w:rFonts w:asciiTheme="minorHAnsi" w:hAnsiTheme="minorHAnsi" w:cs="ArialMT"/>
                <w:spacing w:val="0"/>
                <w:sz w:val="16"/>
                <w:szCs w:val="16"/>
                <w:lang w:bidi="ar-SA"/>
              </w:rPr>
              <w:t>0,73</w:t>
            </w:r>
          </w:p>
        </w:tc>
      </w:tr>
      <w:tr w:rsidR="00C36332" w:rsidRPr="00DA6B2E" w:rsidTr="00C36332">
        <w:tc>
          <w:tcPr>
            <w:tcW w:w="2324" w:type="dxa"/>
            <w:tcBorders>
              <w:left w:val="single" w:sz="12" w:space="0" w:color="372C74"/>
              <w:right w:val="single" w:sz="12" w:space="0" w:color="372C74"/>
              <w:tl2br w:val="nil"/>
              <w:tr2bl w:val="nil"/>
            </w:tcBorders>
            <w:shd w:val="clear" w:color="auto" w:fill="auto"/>
            <w:vAlign w:val="center"/>
          </w:tcPr>
          <w:p w:rsidR="00C36332" w:rsidRPr="00F63623" w:rsidRDefault="00F63623" w:rsidP="00F63623">
            <w:pPr>
              <w:autoSpaceDE w:val="0"/>
              <w:autoSpaceDN w:val="0"/>
              <w:adjustRightInd w:val="0"/>
              <w:spacing w:before="0" w:after="0" w:line="240" w:lineRule="auto"/>
              <w:jc w:val="left"/>
              <w:rPr>
                <w:rFonts w:asciiTheme="minorHAnsi" w:hAnsiTheme="minorHAnsi" w:cs="ArialMT"/>
                <w:spacing w:val="0"/>
                <w:sz w:val="16"/>
                <w:szCs w:val="16"/>
                <w:lang w:bidi="ar-SA"/>
              </w:rPr>
            </w:pPr>
            <w:r w:rsidRPr="00C36332">
              <w:rPr>
                <w:rFonts w:asciiTheme="minorHAnsi" w:hAnsiTheme="minorHAnsi" w:cs="ArialMT"/>
                <w:spacing w:val="0"/>
                <w:sz w:val="16"/>
                <w:szCs w:val="16"/>
                <w:lang w:bidi="ar-SA"/>
              </w:rPr>
              <w:t>Počet obytných místností na b.j.</w:t>
            </w:r>
          </w:p>
        </w:tc>
        <w:tc>
          <w:tcPr>
            <w:tcW w:w="886" w:type="dxa"/>
            <w:shd w:val="clear" w:color="auto" w:fill="auto"/>
            <w:vAlign w:val="center"/>
          </w:tcPr>
          <w:p w:rsidR="00C36332" w:rsidRPr="007026C2" w:rsidRDefault="00F63623"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2,33</w:t>
            </w:r>
          </w:p>
        </w:tc>
        <w:tc>
          <w:tcPr>
            <w:tcW w:w="887" w:type="dxa"/>
            <w:shd w:val="clear" w:color="auto" w:fill="auto"/>
            <w:vAlign w:val="center"/>
          </w:tcPr>
          <w:p w:rsidR="00C36332" w:rsidRPr="007026C2" w:rsidRDefault="00F63623" w:rsidP="00A2239D">
            <w:pPr>
              <w:spacing w:before="0" w:after="0" w:line="240" w:lineRule="auto"/>
              <w:jc w:val="center"/>
              <w:rPr>
                <w:rFonts w:cs="Arial"/>
                <w:i/>
                <w:sz w:val="16"/>
                <w:szCs w:val="16"/>
              </w:rPr>
            </w:pPr>
            <w:r w:rsidRPr="00C36332">
              <w:rPr>
                <w:rFonts w:asciiTheme="minorHAnsi" w:hAnsiTheme="minorHAnsi" w:cs="ArialMT"/>
                <w:spacing w:val="0"/>
                <w:sz w:val="16"/>
                <w:szCs w:val="16"/>
                <w:lang w:bidi="ar-SA"/>
              </w:rPr>
              <w:t>2,5</w:t>
            </w:r>
            <w:r>
              <w:rPr>
                <w:rFonts w:asciiTheme="minorHAnsi" w:hAnsiTheme="minorHAnsi" w:cs="ArialMT"/>
                <w:spacing w:val="0"/>
                <w:sz w:val="16"/>
                <w:szCs w:val="16"/>
                <w:lang w:bidi="ar-SA"/>
              </w:rPr>
              <w:t>0</w:t>
            </w:r>
          </w:p>
        </w:tc>
        <w:tc>
          <w:tcPr>
            <w:tcW w:w="886" w:type="dxa"/>
            <w:shd w:val="clear" w:color="auto" w:fill="auto"/>
            <w:vAlign w:val="center"/>
          </w:tcPr>
          <w:p w:rsidR="00C36332" w:rsidRPr="007026C2" w:rsidRDefault="00F63623" w:rsidP="00A2239D">
            <w:pPr>
              <w:spacing w:before="0" w:after="0" w:line="240" w:lineRule="auto"/>
              <w:jc w:val="center"/>
              <w:rPr>
                <w:i/>
                <w:sz w:val="16"/>
                <w:szCs w:val="16"/>
              </w:rPr>
            </w:pPr>
            <w:r w:rsidRPr="00C36332">
              <w:rPr>
                <w:rFonts w:asciiTheme="minorHAnsi" w:hAnsiTheme="minorHAnsi" w:cs="ArialMT"/>
                <w:spacing w:val="0"/>
                <w:sz w:val="16"/>
                <w:szCs w:val="16"/>
                <w:lang w:bidi="ar-SA"/>
              </w:rPr>
              <w:t>2,51</w:t>
            </w:r>
          </w:p>
        </w:tc>
        <w:tc>
          <w:tcPr>
            <w:tcW w:w="887" w:type="dxa"/>
            <w:shd w:val="clear" w:color="auto" w:fill="auto"/>
            <w:vAlign w:val="center"/>
          </w:tcPr>
          <w:p w:rsidR="00C36332" w:rsidRPr="007026C2" w:rsidRDefault="00F63623" w:rsidP="00A2239D">
            <w:pPr>
              <w:spacing w:before="0" w:after="0" w:line="240" w:lineRule="auto"/>
              <w:jc w:val="center"/>
              <w:rPr>
                <w:i/>
                <w:sz w:val="16"/>
                <w:szCs w:val="16"/>
              </w:rPr>
            </w:pPr>
            <w:r w:rsidRPr="00C36332">
              <w:rPr>
                <w:rFonts w:asciiTheme="minorHAnsi" w:hAnsiTheme="minorHAnsi" w:cs="ArialMT"/>
                <w:spacing w:val="0"/>
                <w:sz w:val="16"/>
                <w:szCs w:val="16"/>
                <w:lang w:bidi="ar-SA"/>
              </w:rPr>
              <w:t>2,72</w:t>
            </w:r>
          </w:p>
        </w:tc>
        <w:tc>
          <w:tcPr>
            <w:tcW w:w="886" w:type="dxa"/>
            <w:shd w:val="clear" w:color="auto" w:fill="auto"/>
            <w:vAlign w:val="center"/>
          </w:tcPr>
          <w:p w:rsidR="00C36332" w:rsidRPr="007026C2" w:rsidRDefault="00F63623" w:rsidP="00A2239D">
            <w:pPr>
              <w:spacing w:before="0" w:after="0" w:line="240" w:lineRule="auto"/>
              <w:jc w:val="center"/>
              <w:rPr>
                <w:sz w:val="16"/>
                <w:szCs w:val="16"/>
              </w:rPr>
            </w:pPr>
            <w:r w:rsidRPr="00C36332">
              <w:rPr>
                <w:rFonts w:asciiTheme="minorHAnsi" w:hAnsiTheme="minorHAnsi" w:cs="ArialMT"/>
                <w:spacing w:val="0"/>
                <w:sz w:val="16"/>
                <w:szCs w:val="16"/>
                <w:lang w:bidi="ar-SA"/>
              </w:rPr>
              <w:t>3,07</w:t>
            </w:r>
          </w:p>
        </w:tc>
        <w:tc>
          <w:tcPr>
            <w:tcW w:w="887" w:type="dxa"/>
            <w:shd w:val="clear" w:color="auto" w:fill="auto"/>
            <w:vAlign w:val="center"/>
          </w:tcPr>
          <w:p w:rsidR="00C36332" w:rsidRPr="007026C2" w:rsidRDefault="00F63623" w:rsidP="00A2239D">
            <w:pPr>
              <w:spacing w:before="0" w:after="0" w:line="240" w:lineRule="auto"/>
              <w:jc w:val="center"/>
              <w:rPr>
                <w:sz w:val="16"/>
                <w:szCs w:val="16"/>
              </w:rPr>
            </w:pPr>
            <w:r w:rsidRPr="00C36332">
              <w:rPr>
                <w:rFonts w:asciiTheme="minorHAnsi" w:hAnsiTheme="minorHAnsi" w:cs="ArialMT"/>
                <w:spacing w:val="0"/>
                <w:sz w:val="16"/>
                <w:szCs w:val="16"/>
                <w:lang w:bidi="ar-SA"/>
              </w:rPr>
              <w:t>3,07</w:t>
            </w:r>
          </w:p>
        </w:tc>
        <w:tc>
          <w:tcPr>
            <w:tcW w:w="886" w:type="dxa"/>
            <w:shd w:val="clear" w:color="auto" w:fill="auto"/>
            <w:vAlign w:val="center"/>
          </w:tcPr>
          <w:p w:rsidR="00C36332" w:rsidRPr="007026C2" w:rsidRDefault="00F63623"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3,08</w:t>
            </w:r>
          </w:p>
        </w:tc>
        <w:tc>
          <w:tcPr>
            <w:tcW w:w="887" w:type="dxa"/>
            <w:shd w:val="clear" w:color="auto" w:fill="auto"/>
            <w:vAlign w:val="center"/>
          </w:tcPr>
          <w:p w:rsidR="00C36332" w:rsidRPr="007026C2" w:rsidRDefault="00F63623"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3,38</w:t>
            </w:r>
          </w:p>
        </w:tc>
      </w:tr>
      <w:tr w:rsidR="00C36332" w:rsidRPr="00DA6B2E" w:rsidTr="00C36332">
        <w:tc>
          <w:tcPr>
            <w:tcW w:w="2324" w:type="dxa"/>
            <w:tcBorders>
              <w:left w:val="single" w:sz="12" w:space="0" w:color="372C74"/>
              <w:right w:val="single" w:sz="12" w:space="0" w:color="372C74"/>
              <w:tl2br w:val="nil"/>
              <w:tr2bl w:val="nil"/>
            </w:tcBorders>
            <w:shd w:val="clear" w:color="auto" w:fill="auto"/>
            <w:vAlign w:val="center"/>
          </w:tcPr>
          <w:p w:rsidR="00C36332" w:rsidRPr="00F63623" w:rsidRDefault="00F63623" w:rsidP="00F63623">
            <w:pPr>
              <w:autoSpaceDE w:val="0"/>
              <w:autoSpaceDN w:val="0"/>
              <w:adjustRightInd w:val="0"/>
              <w:spacing w:before="0" w:after="0" w:line="240" w:lineRule="auto"/>
              <w:jc w:val="left"/>
              <w:rPr>
                <w:rFonts w:asciiTheme="minorHAnsi" w:hAnsiTheme="minorHAnsi" w:cs="ArialMT"/>
                <w:spacing w:val="0"/>
                <w:sz w:val="16"/>
                <w:szCs w:val="16"/>
                <w:lang w:bidi="ar-SA"/>
              </w:rPr>
            </w:pPr>
            <w:r w:rsidRPr="00C36332">
              <w:rPr>
                <w:rFonts w:asciiTheme="minorHAnsi" w:hAnsiTheme="minorHAnsi" w:cs="ArialMT"/>
                <w:spacing w:val="0"/>
                <w:sz w:val="16"/>
                <w:szCs w:val="16"/>
                <w:lang w:bidi="ar-SA"/>
              </w:rPr>
              <w:t>Obytná plocha v m</w:t>
            </w:r>
            <w:r w:rsidRPr="00C36332">
              <w:rPr>
                <w:rFonts w:asciiTheme="minorHAnsi" w:hAnsiTheme="minorHAnsi" w:cs="ArialMT"/>
                <w:spacing w:val="0"/>
                <w:sz w:val="16"/>
                <w:szCs w:val="16"/>
                <w:vertAlign w:val="superscript"/>
                <w:lang w:bidi="ar-SA"/>
              </w:rPr>
              <w:t xml:space="preserve">2 </w:t>
            </w:r>
            <w:r w:rsidRPr="00C36332">
              <w:rPr>
                <w:rFonts w:asciiTheme="minorHAnsi" w:hAnsiTheme="minorHAnsi" w:cs="ArialMT"/>
                <w:spacing w:val="0"/>
                <w:sz w:val="16"/>
                <w:szCs w:val="16"/>
                <w:lang w:bidi="ar-SA"/>
              </w:rPr>
              <w:t>na byt</w:t>
            </w:r>
          </w:p>
        </w:tc>
        <w:tc>
          <w:tcPr>
            <w:tcW w:w="886" w:type="dxa"/>
            <w:shd w:val="clear" w:color="auto" w:fill="auto"/>
            <w:vAlign w:val="center"/>
          </w:tcPr>
          <w:p w:rsidR="00C36332" w:rsidRPr="007026C2" w:rsidRDefault="00F63623"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40,63</w:t>
            </w:r>
          </w:p>
        </w:tc>
        <w:tc>
          <w:tcPr>
            <w:tcW w:w="887" w:type="dxa"/>
            <w:shd w:val="clear" w:color="auto" w:fill="auto"/>
            <w:vAlign w:val="center"/>
          </w:tcPr>
          <w:p w:rsidR="00C36332" w:rsidRPr="007026C2" w:rsidRDefault="00F63623" w:rsidP="00A2239D">
            <w:pPr>
              <w:spacing w:before="0" w:after="0" w:line="240" w:lineRule="auto"/>
              <w:jc w:val="center"/>
              <w:rPr>
                <w:rFonts w:cs="Arial"/>
                <w:i/>
                <w:sz w:val="16"/>
                <w:szCs w:val="16"/>
              </w:rPr>
            </w:pPr>
            <w:r w:rsidRPr="00C36332">
              <w:rPr>
                <w:rFonts w:asciiTheme="minorHAnsi" w:hAnsiTheme="minorHAnsi" w:cs="ArialMT"/>
                <w:spacing w:val="0"/>
                <w:sz w:val="16"/>
                <w:szCs w:val="16"/>
                <w:lang w:bidi="ar-SA"/>
              </w:rPr>
              <w:t>45,8</w:t>
            </w:r>
            <w:r>
              <w:rPr>
                <w:rFonts w:asciiTheme="minorHAnsi" w:hAnsiTheme="minorHAnsi" w:cs="ArialMT"/>
                <w:spacing w:val="0"/>
                <w:sz w:val="16"/>
                <w:szCs w:val="16"/>
                <w:lang w:bidi="ar-SA"/>
              </w:rPr>
              <w:t>0</w:t>
            </w:r>
          </w:p>
        </w:tc>
        <w:tc>
          <w:tcPr>
            <w:tcW w:w="886" w:type="dxa"/>
            <w:shd w:val="clear" w:color="auto" w:fill="auto"/>
            <w:vAlign w:val="center"/>
          </w:tcPr>
          <w:p w:rsidR="00C36332" w:rsidRPr="007026C2" w:rsidRDefault="00F63623" w:rsidP="00A2239D">
            <w:pPr>
              <w:spacing w:before="0" w:after="0" w:line="240" w:lineRule="auto"/>
              <w:jc w:val="center"/>
              <w:rPr>
                <w:i/>
                <w:sz w:val="16"/>
                <w:szCs w:val="16"/>
              </w:rPr>
            </w:pPr>
            <w:r w:rsidRPr="00C36332">
              <w:rPr>
                <w:rFonts w:asciiTheme="minorHAnsi" w:hAnsiTheme="minorHAnsi" w:cs="ArialMT"/>
                <w:spacing w:val="0"/>
                <w:sz w:val="16"/>
                <w:szCs w:val="16"/>
                <w:lang w:bidi="ar-SA"/>
              </w:rPr>
              <w:t>45,6</w:t>
            </w:r>
            <w:r>
              <w:rPr>
                <w:rFonts w:asciiTheme="minorHAnsi" w:hAnsiTheme="minorHAnsi" w:cs="ArialMT"/>
                <w:spacing w:val="0"/>
                <w:sz w:val="16"/>
                <w:szCs w:val="16"/>
                <w:lang w:bidi="ar-SA"/>
              </w:rPr>
              <w:t>0</w:t>
            </w:r>
          </w:p>
        </w:tc>
        <w:tc>
          <w:tcPr>
            <w:tcW w:w="887" w:type="dxa"/>
            <w:shd w:val="clear" w:color="auto" w:fill="auto"/>
            <w:vAlign w:val="center"/>
          </w:tcPr>
          <w:p w:rsidR="00C36332" w:rsidRPr="007026C2" w:rsidRDefault="00F63623" w:rsidP="00A2239D">
            <w:pPr>
              <w:spacing w:before="0" w:after="0" w:line="240" w:lineRule="auto"/>
              <w:jc w:val="center"/>
              <w:rPr>
                <w:i/>
                <w:sz w:val="16"/>
                <w:szCs w:val="16"/>
              </w:rPr>
            </w:pPr>
            <w:r w:rsidRPr="00C36332">
              <w:rPr>
                <w:rFonts w:asciiTheme="minorHAnsi" w:hAnsiTheme="minorHAnsi" w:cs="ArialMT"/>
                <w:spacing w:val="0"/>
                <w:sz w:val="16"/>
                <w:szCs w:val="16"/>
                <w:lang w:bidi="ar-SA"/>
              </w:rPr>
              <w:t>49,5</w:t>
            </w:r>
            <w:r>
              <w:rPr>
                <w:rFonts w:asciiTheme="minorHAnsi" w:hAnsiTheme="minorHAnsi" w:cs="ArialMT"/>
                <w:spacing w:val="0"/>
                <w:sz w:val="16"/>
                <w:szCs w:val="16"/>
                <w:lang w:bidi="ar-SA"/>
              </w:rPr>
              <w:t>0</w:t>
            </w:r>
          </w:p>
        </w:tc>
        <w:tc>
          <w:tcPr>
            <w:tcW w:w="886" w:type="dxa"/>
            <w:shd w:val="clear" w:color="auto" w:fill="auto"/>
            <w:vAlign w:val="center"/>
          </w:tcPr>
          <w:p w:rsidR="00C36332" w:rsidRPr="007026C2" w:rsidRDefault="00F63623" w:rsidP="00A2239D">
            <w:pPr>
              <w:spacing w:before="0" w:after="0" w:line="240" w:lineRule="auto"/>
              <w:jc w:val="center"/>
              <w:rPr>
                <w:sz w:val="16"/>
                <w:szCs w:val="16"/>
              </w:rPr>
            </w:pPr>
            <w:r w:rsidRPr="00C36332">
              <w:rPr>
                <w:rFonts w:asciiTheme="minorHAnsi" w:hAnsiTheme="minorHAnsi" w:cs="ArialMT"/>
                <w:spacing w:val="0"/>
                <w:sz w:val="16"/>
                <w:szCs w:val="16"/>
                <w:lang w:bidi="ar-SA"/>
              </w:rPr>
              <w:t>55,10</w:t>
            </w:r>
          </w:p>
        </w:tc>
        <w:tc>
          <w:tcPr>
            <w:tcW w:w="887" w:type="dxa"/>
            <w:shd w:val="clear" w:color="auto" w:fill="auto"/>
            <w:vAlign w:val="center"/>
          </w:tcPr>
          <w:p w:rsidR="00C36332" w:rsidRPr="007026C2" w:rsidRDefault="00F63623" w:rsidP="00A2239D">
            <w:pPr>
              <w:spacing w:before="0" w:after="0" w:line="240" w:lineRule="auto"/>
              <w:jc w:val="center"/>
              <w:rPr>
                <w:sz w:val="16"/>
                <w:szCs w:val="16"/>
              </w:rPr>
            </w:pPr>
            <w:r w:rsidRPr="00C36332">
              <w:rPr>
                <w:rFonts w:asciiTheme="minorHAnsi" w:hAnsiTheme="minorHAnsi" w:cs="ArialMT"/>
                <w:spacing w:val="0"/>
                <w:sz w:val="16"/>
                <w:szCs w:val="16"/>
                <w:lang w:bidi="ar-SA"/>
              </w:rPr>
              <w:t>62,80</w:t>
            </w:r>
          </w:p>
        </w:tc>
        <w:tc>
          <w:tcPr>
            <w:tcW w:w="886" w:type="dxa"/>
            <w:shd w:val="clear" w:color="auto" w:fill="auto"/>
            <w:vAlign w:val="center"/>
          </w:tcPr>
          <w:p w:rsidR="00C36332" w:rsidRPr="007026C2" w:rsidRDefault="00F63623"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62,40</w:t>
            </w:r>
          </w:p>
        </w:tc>
        <w:tc>
          <w:tcPr>
            <w:tcW w:w="887" w:type="dxa"/>
            <w:shd w:val="clear" w:color="auto" w:fill="auto"/>
            <w:vAlign w:val="center"/>
          </w:tcPr>
          <w:p w:rsidR="00C36332" w:rsidRPr="007026C2" w:rsidRDefault="00F63623"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65,30</w:t>
            </w:r>
          </w:p>
        </w:tc>
      </w:tr>
      <w:tr w:rsidR="00C36332" w:rsidRPr="00DA6B2E" w:rsidTr="00C36332">
        <w:tc>
          <w:tcPr>
            <w:tcW w:w="2324" w:type="dxa"/>
            <w:tcBorders>
              <w:left w:val="single" w:sz="12" w:space="0" w:color="372C74"/>
              <w:bottom w:val="single" w:sz="12" w:space="0" w:color="372C74"/>
              <w:right w:val="single" w:sz="12" w:space="0" w:color="372C74"/>
              <w:tl2br w:val="nil"/>
              <w:tr2bl w:val="nil"/>
            </w:tcBorders>
            <w:shd w:val="clear" w:color="auto" w:fill="auto"/>
            <w:vAlign w:val="center"/>
          </w:tcPr>
          <w:p w:rsidR="00C36332" w:rsidRPr="00F63623" w:rsidRDefault="00F63623" w:rsidP="00F63623">
            <w:pPr>
              <w:autoSpaceDE w:val="0"/>
              <w:autoSpaceDN w:val="0"/>
              <w:adjustRightInd w:val="0"/>
              <w:spacing w:before="0" w:after="0" w:line="240" w:lineRule="auto"/>
              <w:jc w:val="left"/>
              <w:rPr>
                <w:rFonts w:asciiTheme="minorHAnsi" w:hAnsiTheme="minorHAnsi" w:cs="ArialMT"/>
                <w:spacing w:val="0"/>
                <w:sz w:val="16"/>
                <w:szCs w:val="16"/>
                <w:lang w:bidi="ar-SA"/>
              </w:rPr>
            </w:pPr>
            <w:r w:rsidRPr="00C36332">
              <w:rPr>
                <w:rFonts w:asciiTheme="minorHAnsi" w:hAnsiTheme="minorHAnsi" w:cs="ArialMT"/>
                <w:spacing w:val="0"/>
                <w:sz w:val="16"/>
                <w:szCs w:val="16"/>
                <w:lang w:bidi="ar-SA"/>
              </w:rPr>
              <w:t>Obytná plocha</w:t>
            </w:r>
            <w:r>
              <w:rPr>
                <w:rFonts w:asciiTheme="minorHAnsi" w:hAnsiTheme="minorHAnsi" w:cs="ArialMT"/>
                <w:spacing w:val="0"/>
                <w:sz w:val="16"/>
                <w:szCs w:val="16"/>
                <w:lang w:bidi="ar-SA"/>
              </w:rPr>
              <w:t xml:space="preserve"> </w:t>
            </w:r>
            <w:r w:rsidRPr="00C36332">
              <w:rPr>
                <w:rFonts w:asciiTheme="minorHAnsi" w:hAnsiTheme="minorHAnsi" w:cs="ArialMT"/>
                <w:spacing w:val="0"/>
                <w:sz w:val="16"/>
                <w:szCs w:val="16"/>
                <w:lang w:bidi="ar-SA"/>
              </w:rPr>
              <w:t>v m</w:t>
            </w:r>
            <w:r w:rsidRPr="00F63623">
              <w:rPr>
                <w:rFonts w:asciiTheme="minorHAnsi" w:hAnsiTheme="minorHAnsi" w:cs="ArialMT"/>
                <w:spacing w:val="0"/>
                <w:sz w:val="16"/>
                <w:szCs w:val="16"/>
                <w:vertAlign w:val="superscript"/>
                <w:lang w:bidi="ar-SA"/>
              </w:rPr>
              <w:t>2</w:t>
            </w:r>
            <w:r w:rsidRPr="00C36332">
              <w:rPr>
                <w:rFonts w:asciiTheme="minorHAnsi" w:hAnsiTheme="minorHAnsi" w:cs="ArialMT"/>
                <w:spacing w:val="0"/>
                <w:sz w:val="16"/>
                <w:szCs w:val="16"/>
                <w:lang w:bidi="ar-SA"/>
              </w:rPr>
              <w:t xml:space="preserve"> na 1 osobu</w:t>
            </w:r>
          </w:p>
        </w:tc>
        <w:tc>
          <w:tcPr>
            <w:tcW w:w="886" w:type="dxa"/>
            <w:shd w:val="clear" w:color="auto" w:fill="auto"/>
            <w:vAlign w:val="center"/>
          </w:tcPr>
          <w:p w:rsidR="00C36332" w:rsidRPr="007026C2" w:rsidRDefault="00F63623"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15,96</w:t>
            </w:r>
          </w:p>
        </w:tc>
        <w:tc>
          <w:tcPr>
            <w:tcW w:w="887" w:type="dxa"/>
            <w:shd w:val="clear" w:color="auto" w:fill="auto"/>
            <w:vAlign w:val="center"/>
          </w:tcPr>
          <w:p w:rsidR="00C36332" w:rsidRPr="007026C2" w:rsidRDefault="00F63623" w:rsidP="00A2239D">
            <w:pPr>
              <w:spacing w:before="0" w:after="0" w:line="240" w:lineRule="auto"/>
              <w:jc w:val="center"/>
              <w:rPr>
                <w:rFonts w:cs="Arial"/>
                <w:i/>
                <w:sz w:val="16"/>
                <w:szCs w:val="16"/>
              </w:rPr>
            </w:pPr>
            <w:r w:rsidRPr="00C36332">
              <w:rPr>
                <w:rFonts w:asciiTheme="minorHAnsi" w:hAnsiTheme="minorHAnsi" w:cs="ArialMT"/>
                <w:spacing w:val="0"/>
                <w:sz w:val="16"/>
                <w:szCs w:val="16"/>
                <w:lang w:bidi="ar-SA"/>
              </w:rPr>
              <w:t>17,7</w:t>
            </w:r>
            <w:r>
              <w:rPr>
                <w:rFonts w:asciiTheme="minorHAnsi" w:hAnsiTheme="minorHAnsi" w:cs="ArialMT"/>
                <w:spacing w:val="0"/>
                <w:sz w:val="16"/>
                <w:szCs w:val="16"/>
                <w:lang w:bidi="ar-SA"/>
              </w:rPr>
              <w:t>0</w:t>
            </w:r>
          </w:p>
        </w:tc>
        <w:tc>
          <w:tcPr>
            <w:tcW w:w="886" w:type="dxa"/>
            <w:shd w:val="clear" w:color="auto" w:fill="auto"/>
            <w:vAlign w:val="center"/>
          </w:tcPr>
          <w:p w:rsidR="00C36332" w:rsidRPr="007026C2" w:rsidRDefault="00F63623" w:rsidP="00A2239D">
            <w:pPr>
              <w:spacing w:before="0" w:after="0" w:line="240" w:lineRule="auto"/>
              <w:jc w:val="center"/>
              <w:rPr>
                <w:i/>
                <w:sz w:val="16"/>
                <w:szCs w:val="16"/>
              </w:rPr>
            </w:pPr>
            <w:r w:rsidRPr="00C36332">
              <w:rPr>
                <w:rFonts w:asciiTheme="minorHAnsi" w:hAnsiTheme="minorHAnsi" w:cs="ArialMT"/>
                <w:spacing w:val="0"/>
                <w:sz w:val="16"/>
                <w:szCs w:val="16"/>
                <w:lang w:bidi="ar-SA"/>
              </w:rPr>
              <w:t>17,5</w:t>
            </w:r>
            <w:r>
              <w:rPr>
                <w:rFonts w:asciiTheme="minorHAnsi" w:hAnsiTheme="minorHAnsi" w:cs="ArialMT"/>
                <w:spacing w:val="0"/>
                <w:sz w:val="16"/>
                <w:szCs w:val="16"/>
                <w:lang w:bidi="ar-SA"/>
              </w:rPr>
              <w:t>0</w:t>
            </w:r>
          </w:p>
        </w:tc>
        <w:tc>
          <w:tcPr>
            <w:tcW w:w="887" w:type="dxa"/>
            <w:shd w:val="clear" w:color="auto" w:fill="auto"/>
            <w:vAlign w:val="center"/>
          </w:tcPr>
          <w:p w:rsidR="00C36332" w:rsidRPr="007026C2" w:rsidRDefault="00F63623" w:rsidP="00A2239D">
            <w:pPr>
              <w:spacing w:before="0" w:after="0" w:line="240" w:lineRule="auto"/>
              <w:jc w:val="center"/>
              <w:rPr>
                <w:i/>
                <w:sz w:val="16"/>
                <w:szCs w:val="16"/>
              </w:rPr>
            </w:pPr>
            <w:r w:rsidRPr="00C36332">
              <w:rPr>
                <w:rFonts w:asciiTheme="minorHAnsi" w:hAnsiTheme="minorHAnsi" w:cs="ArialMT"/>
                <w:spacing w:val="0"/>
                <w:sz w:val="16"/>
                <w:szCs w:val="16"/>
                <w:lang w:bidi="ar-SA"/>
              </w:rPr>
              <w:t>18,6</w:t>
            </w:r>
            <w:r>
              <w:rPr>
                <w:rFonts w:asciiTheme="minorHAnsi" w:hAnsiTheme="minorHAnsi" w:cs="ArialMT"/>
                <w:spacing w:val="0"/>
                <w:sz w:val="16"/>
                <w:szCs w:val="16"/>
                <w:lang w:bidi="ar-SA"/>
              </w:rPr>
              <w:t>0</w:t>
            </w:r>
          </w:p>
        </w:tc>
        <w:tc>
          <w:tcPr>
            <w:tcW w:w="886" w:type="dxa"/>
            <w:shd w:val="clear" w:color="auto" w:fill="auto"/>
            <w:vAlign w:val="center"/>
          </w:tcPr>
          <w:p w:rsidR="00C36332" w:rsidRPr="007026C2" w:rsidRDefault="00F63623" w:rsidP="00A2239D">
            <w:pPr>
              <w:spacing w:before="0" w:after="0" w:line="240" w:lineRule="auto"/>
              <w:jc w:val="center"/>
              <w:rPr>
                <w:sz w:val="16"/>
                <w:szCs w:val="16"/>
              </w:rPr>
            </w:pPr>
            <w:r w:rsidRPr="00C36332">
              <w:rPr>
                <w:rFonts w:asciiTheme="minorHAnsi" w:hAnsiTheme="minorHAnsi" w:cs="ArialMT"/>
                <w:spacing w:val="0"/>
                <w:sz w:val="16"/>
                <w:szCs w:val="16"/>
                <w:lang w:bidi="ar-SA"/>
              </w:rPr>
              <w:t>30,00</w:t>
            </w:r>
          </w:p>
        </w:tc>
        <w:tc>
          <w:tcPr>
            <w:tcW w:w="887" w:type="dxa"/>
            <w:shd w:val="clear" w:color="auto" w:fill="auto"/>
            <w:vAlign w:val="center"/>
          </w:tcPr>
          <w:p w:rsidR="00C36332" w:rsidRPr="007026C2" w:rsidRDefault="00F63623" w:rsidP="00A2239D">
            <w:pPr>
              <w:spacing w:before="0" w:after="0" w:line="240" w:lineRule="auto"/>
              <w:jc w:val="center"/>
              <w:rPr>
                <w:sz w:val="16"/>
                <w:szCs w:val="16"/>
              </w:rPr>
            </w:pPr>
            <w:r w:rsidRPr="00C36332">
              <w:rPr>
                <w:rFonts w:asciiTheme="minorHAnsi" w:hAnsiTheme="minorHAnsi" w:cs="ArialMT"/>
                <w:spacing w:val="0"/>
                <w:sz w:val="16"/>
                <w:szCs w:val="16"/>
                <w:lang w:bidi="ar-SA"/>
              </w:rPr>
              <w:t>33,00</w:t>
            </w:r>
          </w:p>
        </w:tc>
        <w:tc>
          <w:tcPr>
            <w:tcW w:w="886" w:type="dxa"/>
            <w:shd w:val="clear" w:color="auto" w:fill="auto"/>
            <w:vAlign w:val="center"/>
          </w:tcPr>
          <w:p w:rsidR="00C36332" w:rsidRPr="007026C2" w:rsidRDefault="00F63623"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32,60</w:t>
            </w:r>
          </w:p>
        </w:tc>
        <w:tc>
          <w:tcPr>
            <w:tcW w:w="887" w:type="dxa"/>
            <w:shd w:val="clear" w:color="auto" w:fill="auto"/>
            <w:vAlign w:val="center"/>
          </w:tcPr>
          <w:p w:rsidR="00C36332" w:rsidRPr="007026C2" w:rsidRDefault="00F63623" w:rsidP="00A2239D">
            <w:pPr>
              <w:spacing w:before="0" w:after="0" w:line="240" w:lineRule="auto"/>
              <w:jc w:val="center"/>
              <w:rPr>
                <w:rFonts w:cs="Arial"/>
                <w:sz w:val="16"/>
                <w:szCs w:val="16"/>
              </w:rPr>
            </w:pPr>
            <w:r w:rsidRPr="00C36332">
              <w:rPr>
                <w:rFonts w:asciiTheme="minorHAnsi" w:hAnsiTheme="minorHAnsi" w:cs="ArialMT"/>
                <w:spacing w:val="0"/>
                <w:sz w:val="16"/>
                <w:szCs w:val="16"/>
                <w:lang w:bidi="ar-SA"/>
              </w:rPr>
              <w:t>32,50</w:t>
            </w:r>
          </w:p>
        </w:tc>
      </w:tr>
    </w:tbl>
    <w:p w:rsidR="00C36332" w:rsidRDefault="00C36332" w:rsidP="00C36332">
      <w:pPr>
        <w:spacing w:before="0" w:after="120"/>
        <w:rPr>
          <w:rFonts w:cs="Arial-ItalicMT"/>
          <w:iCs/>
          <w:sz w:val="18"/>
          <w:szCs w:val="18"/>
        </w:rPr>
      </w:pPr>
      <w:r w:rsidRPr="00DA6B2E">
        <w:rPr>
          <w:sz w:val="16"/>
          <w:szCs w:val="16"/>
        </w:rPr>
        <w:t xml:space="preserve">Zdroj: </w:t>
      </w:r>
      <w:r>
        <w:rPr>
          <w:sz w:val="16"/>
          <w:szCs w:val="16"/>
        </w:rPr>
        <w:t>ČSÚ – SLDB 2001 a 2011</w:t>
      </w:r>
    </w:p>
    <w:p w:rsidR="00A61B9F" w:rsidRPr="00F63623" w:rsidRDefault="00A61B9F" w:rsidP="00F63623">
      <w:pPr>
        <w:spacing w:before="120" w:after="120"/>
      </w:pPr>
      <w:r w:rsidRPr="00F63623">
        <w:t>Charakter výstavby (unifikovaná cihlová respektive panelová výstavba z 50. až 80. let) předurčuje</w:t>
      </w:r>
      <w:r w:rsidR="00F63623" w:rsidRPr="00F63623">
        <w:t xml:space="preserve"> </w:t>
      </w:r>
      <w:r w:rsidRPr="00F63623">
        <w:t>nižší obytnou plochu na jednu bytovou jednotku, než vykazuje stejný ukazatel v rámci okresu, kraje i</w:t>
      </w:r>
      <w:r w:rsidR="00F63623" w:rsidRPr="00F63623">
        <w:t xml:space="preserve"> </w:t>
      </w:r>
      <w:r w:rsidRPr="00F63623">
        <w:t>České republiky. Ve stejném porovnání také vychází v Ostrově nejmenší obytná plocha na 1</w:t>
      </w:r>
      <w:r w:rsidR="00F63623" w:rsidRPr="00F63623">
        <w:t xml:space="preserve"> </w:t>
      </w:r>
      <w:r w:rsidRPr="00F63623">
        <w:t>obyvatele.</w:t>
      </w:r>
    </w:p>
    <w:p w:rsidR="004307E4" w:rsidRPr="00A245CE" w:rsidRDefault="004307E4" w:rsidP="004307E4">
      <w:pPr>
        <w:pStyle w:val="Nadpis6"/>
        <w:rPr>
          <w:rFonts w:asciiTheme="majorHAnsi" w:hAnsiTheme="majorHAnsi"/>
        </w:rPr>
      </w:pPr>
      <w:r w:rsidRPr="00A245CE">
        <w:rPr>
          <w:rFonts w:asciiTheme="majorHAnsi" w:hAnsiTheme="majorHAnsi"/>
        </w:rPr>
        <w:t>Sociální bydlení</w:t>
      </w:r>
    </w:p>
    <w:p w:rsidR="004307E4" w:rsidRPr="00A245CE" w:rsidRDefault="004307E4">
      <w:pPr>
        <w:spacing w:before="0" w:after="0" w:line="240" w:lineRule="auto"/>
        <w:jc w:val="left"/>
        <w:rPr>
          <w:szCs w:val="22"/>
        </w:rPr>
      </w:pPr>
    </w:p>
    <w:p w:rsidR="00A2239D" w:rsidRDefault="00A2239D" w:rsidP="00A2239D">
      <w:pPr>
        <w:spacing w:before="0" w:after="120"/>
        <w:rPr>
          <w:rFonts w:cs="Arial-ItalicMT"/>
          <w:iCs/>
          <w:sz w:val="18"/>
          <w:szCs w:val="18"/>
        </w:rPr>
      </w:pPr>
      <w:bookmarkStart w:id="91" w:name="_Toc516059033"/>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24</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sidR="00977220" w:rsidRPr="00977220">
        <w:rPr>
          <w:rFonts w:cs="Arial-ItalicMT"/>
          <w:iCs/>
          <w:sz w:val="18"/>
          <w:szCs w:val="18"/>
        </w:rPr>
        <w:t>Byty v majetku města Ostrov</w:t>
      </w:r>
      <w:bookmarkEnd w:id="91"/>
    </w:p>
    <w:tbl>
      <w:tblPr>
        <w:tblStyle w:val="Mkatabulky"/>
        <w:tblW w:w="0" w:type="auto"/>
        <w:tblLook w:val="04A0" w:firstRow="1" w:lastRow="0" w:firstColumn="1" w:lastColumn="0" w:noHBand="0" w:noVBand="1"/>
      </w:tblPr>
      <w:tblGrid>
        <w:gridCol w:w="5216"/>
        <w:gridCol w:w="1020"/>
        <w:gridCol w:w="1020"/>
        <w:gridCol w:w="1020"/>
        <w:gridCol w:w="1020"/>
      </w:tblGrid>
      <w:tr w:rsidR="00A2239D" w:rsidRPr="00977220" w:rsidTr="00A223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6" w:type="dxa"/>
          </w:tcPr>
          <w:p w:rsidR="00A2239D" w:rsidRPr="00977220" w:rsidRDefault="00A2239D" w:rsidP="00F63623">
            <w:pPr>
              <w:spacing w:before="120" w:after="120"/>
              <w:rPr>
                <w:rFonts w:asciiTheme="minorHAnsi" w:hAnsiTheme="minorHAnsi"/>
                <w:b/>
              </w:rPr>
            </w:pPr>
          </w:p>
        </w:tc>
        <w:tc>
          <w:tcPr>
            <w:tcW w:w="1020" w:type="dxa"/>
          </w:tcPr>
          <w:p w:rsidR="00A2239D" w:rsidRPr="00977220" w:rsidRDefault="00A2239D" w:rsidP="00A2239D">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rPr>
            </w:pPr>
            <w:r w:rsidRPr="00977220">
              <w:rPr>
                <w:rFonts w:asciiTheme="minorHAnsi" w:hAnsiTheme="minorHAnsi"/>
                <w:b/>
              </w:rPr>
              <w:t>2014</w:t>
            </w:r>
          </w:p>
        </w:tc>
        <w:tc>
          <w:tcPr>
            <w:tcW w:w="1020" w:type="dxa"/>
          </w:tcPr>
          <w:p w:rsidR="00A2239D" w:rsidRPr="00977220" w:rsidRDefault="00A2239D" w:rsidP="00A2239D">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rPr>
            </w:pPr>
            <w:r w:rsidRPr="00977220">
              <w:rPr>
                <w:rFonts w:asciiTheme="minorHAnsi" w:hAnsiTheme="minorHAnsi"/>
                <w:b/>
              </w:rPr>
              <w:t>2015</w:t>
            </w:r>
          </w:p>
        </w:tc>
        <w:tc>
          <w:tcPr>
            <w:tcW w:w="1020" w:type="dxa"/>
          </w:tcPr>
          <w:p w:rsidR="00A2239D" w:rsidRPr="00977220" w:rsidRDefault="00A2239D" w:rsidP="00A2239D">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rPr>
            </w:pPr>
            <w:r w:rsidRPr="00977220">
              <w:rPr>
                <w:rFonts w:asciiTheme="minorHAnsi" w:hAnsiTheme="minorHAnsi"/>
                <w:b/>
              </w:rPr>
              <w:t>2016</w:t>
            </w:r>
          </w:p>
        </w:tc>
        <w:tc>
          <w:tcPr>
            <w:tcW w:w="1020" w:type="dxa"/>
          </w:tcPr>
          <w:p w:rsidR="00A2239D" w:rsidRPr="00977220" w:rsidRDefault="00A2239D" w:rsidP="00A2239D">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rPr>
            </w:pPr>
            <w:r w:rsidRPr="00977220">
              <w:rPr>
                <w:rFonts w:asciiTheme="minorHAnsi" w:hAnsiTheme="minorHAnsi"/>
                <w:b/>
              </w:rPr>
              <w:t>2017</w:t>
            </w:r>
          </w:p>
        </w:tc>
      </w:tr>
      <w:tr w:rsidR="008A2208" w:rsidRPr="00A2239D" w:rsidTr="00A2239D">
        <w:tc>
          <w:tcPr>
            <w:cnfStyle w:val="001000000000" w:firstRow="0" w:lastRow="0" w:firstColumn="1" w:lastColumn="0" w:oddVBand="0" w:evenVBand="0" w:oddHBand="0" w:evenHBand="0" w:firstRowFirstColumn="0" w:firstRowLastColumn="0" w:lastRowFirstColumn="0" w:lastRowLastColumn="0"/>
            <w:tcW w:w="5216" w:type="dxa"/>
          </w:tcPr>
          <w:p w:rsidR="008A2208" w:rsidRPr="00A2239D" w:rsidRDefault="008A2208" w:rsidP="00A2239D">
            <w:pPr>
              <w:spacing w:before="0" w:after="0" w:line="240" w:lineRule="auto"/>
              <w:rPr>
                <w:sz w:val="20"/>
              </w:rPr>
            </w:pPr>
            <w:r>
              <w:rPr>
                <w:sz w:val="20"/>
              </w:rPr>
              <w:t>Počet bytů celkem</w:t>
            </w:r>
          </w:p>
        </w:tc>
        <w:tc>
          <w:tcPr>
            <w:tcW w:w="1020" w:type="dxa"/>
          </w:tcPr>
          <w:p w:rsidR="008A2208" w:rsidRPr="00A2239D" w:rsidRDefault="008A2208" w:rsidP="00977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Pr>
                <w:sz w:val="20"/>
              </w:rPr>
              <w:t>1 003</w:t>
            </w:r>
          </w:p>
        </w:tc>
        <w:tc>
          <w:tcPr>
            <w:tcW w:w="1020" w:type="dxa"/>
          </w:tcPr>
          <w:p w:rsidR="008A2208" w:rsidRPr="008A2208" w:rsidRDefault="008A2208" w:rsidP="008A220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sidRPr="008A2208">
              <w:rPr>
                <w:sz w:val="20"/>
              </w:rPr>
              <w:t>1</w:t>
            </w:r>
            <w:r>
              <w:rPr>
                <w:sz w:val="20"/>
              </w:rPr>
              <w:t xml:space="preserve"> </w:t>
            </w:r>
            <w:r w:rsidRPr="008A2208">
              <w:rPr>
                <w:sz w:val="20"/>
              </w:rPr>
              <w:t>061</w:t>
            </w:r>
          </w:p>
        </w:tc>
        <w:tc>
          <w:tcPr>
            <w:tcW w:w="1020" w:type="dxa"/>
          </w:tcPr>
          <w:p w:rsidR="008A2208" w:rsidRPr="008A2208" w:rsidRDefault="008A2208" w:rsidP="008A220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sidRPr="008A2208">
              <w:rPr>
                <w:sz w:val="20"/>
              </w:rPr>
              <w:t>866</w:t>
            </w:r>
          </w:p>
        </w:tc>
        <w:tc>
          <w:tcPr>
            <w:tcW w:w="1020" w:type="dxa"/>
          </w:tcPr>
          <w:p w:rsidR="008A2208" w:rsidRPr="008A2208" w:rsidRDefault="008A2208" w:rsidP="008A220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sidRPr="008A2208">
              <w:rPr>
                <w:sz w:val="20"/>
              </w:rPr>
              <w:t>866</w:t>
            </w:r>
          </w:p>
        </w:tc>
      </w:tr>
      <w:tr w:rsidR="008A2208" w:rsidRPr="00A2239D" w:rsidTr="00A2239D">
        <w:tc>
          <w:tcPr>
            <w:cnfStyle w:val="001000000000" w:firstRow="0" w:lastRow="0" w:firstColumn="1" w:lastColumn="0" w:oddVBand="0" w:evenVBand="0" w:oddHBand="0" w:evenHBand="0" w:firstRowFirstColumn="0" w:firstRowLastColumn="0" w:lastRowFirstColumn="0" w:lastRowLastColumn="0"/>
            <w:tcW w:w="5216" w:type="dxa"/>
          </w:tcPr>
          <w:p w:rsidR="008A2208" w:rsidRPr="00A2239D" w:rsidRDefault="008A2208" w:rsidP="00A2239D">
            <w:pPr>
              <w:spacing w:before="0" w:after="0" w:line="240" w:lineRule="auto"/>
              <w:rPr>
                <w:sz w:val="20"/>
              </w:rPr>
            </w:pPr>
            <w:r>
              <w:rPr>
                <w:sz w:val="20"/>
              </w:rPr>
              <w:t xml:space="preserve">      z toho bytů s minimálním vybavením</w:t>
            </w:r>
          </w:p>
        </w:tc>
        <w:tc>
          <w:tcPr>
            <w:tcW w:w="1020" w:type="dxa"/>
          </w:tcPr>
          <w:p w:rsidR="008A2208" w:rsidRPr="00A2239D" w:rsidRDefault="008A2208" w:rsidP="00977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Pr>
                <w:sz w:val="20"/>
              </w:rPr>
              <w:t>66</w:t>
            </w:r>
          </w:p>
        </w:tc>
        <w:tc>
          <w:tcPr>
            <w:tcW w:w="1020" w:type="dxa"/>
          </w:tcPr>
          <w:p w:rsidR="008A2208" w:rsidRPr="008A2208" w:rsidRDefault="008A2208" w:rsidP="008A220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sidRPr="008A2208">
              <w:rPr>
                <w:sz w:val="20"/>
              </w:rPr>
              <w:t>66</w:t>
            </w:r>
          </w:p>
        </w:tc>
        <w:tc>
          <w:tcPr>
            <w:tcW w:w="1020" w:type="dxa"/>
          </w:tcPr>
          <w:p w:rsidR="008A2208" w:rsidRPr="008A2208" w:rsidRDefault="008A2208" w:rsidP="008A220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sidRPr="008A2208">
              <w:rPr>
                <w:sz w:val="20"/>
              </w:rPr>
              <w:t>66</w:t>
            </w:r>
          </w:p>
        </w:tc>
        <w:tc>
          <w:tcPr>
            <w:tcW w:w="1020" w:type="dxa"/>
          </w:tcPr>
          <w:p w:rsidR="008A2208" w:rsidRPr="008A2208" w:rsidRDefault="008A2208" w:rsidP="008A220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sidRPr="008A2208">
              <w:rPr>
                <w:sz w:val="20"/>
              </w:rPr>
              <w:t>66</w:t>
            </w:r>
          </w:p>
        </w:tc>
      </w:tr>
      <w:tr w:rsidR="008A2208" w:rsidRPr="00A2239D" w:rsidTr="00A2239D">
        <w:tc>
          <w:tcPr>
            <w:cnfStyle w:val="001000000000" w:firstRow="0" w:lastRow="0" w:firstColumn="1" w:lastColumn="0" w:oddVBand="0" w:evenVBand="0" w:oddHBand="0" w:evenHBand="0" w:firstRowFirstColumn="0" w:firstRowLastColumn="0" w:lastRowFirstColumn="0" w:lastRowLastColumn="0"/>
            <w:tcW w:w="5216" w:type="dxa"/>
          </w:tcPr>
          <w:p w:rsidR="008A2208" w:rsidRPr="00A2239D" w:rsidRDefault="008A2208" w:rsidP="00A2239D">
            <w:pPr>
              <w:spacing w:before="0" w:after="0" w:line="240" w:lineRule="auto"/>
              <w:rPr>
                <w:sz w:val="20"/>
              </w:rPr>
            </w:pPr>
            <w:r>
              <w:rPr>
                <w:sz w:val="20"/>
              </w:rPr>
              <w:t xml:space="preserve">      Z toho bezbariérové byty</w:t>
            </w:r>
          </w:p>
        </w:tc>
        <w:tc>
          <w:tcPr>
            <w:tcW w:w="1020" w:type="dxa"/>
          </w:tcPr>
          <w:p w:rsidR="008A2208" w:rsidRPr="00A2239D" w:rsidRDefault="008A2208" w:rsidP="009772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Pr>
                <w:sz w:val="20"/>
              </w:rPr>
              <w:t>25</w:t>
            </w:r>
          </w:p>
        </w:tc>
        <w:tc>
          <w:tcPr>
            <w:tcW w:w="1020" w:type="dxa"/>
          </w:tcPr>
          <w:p w:rsidR="008A2208" w:rsidRPr="008A2208" w:rsidRDefault="008A2208" w:rsidP="008A220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sidRPr="008A2208">
              <w:rPr>
                <w:sz w:val="20"/>
              </w:rPr>
              <w:t>25</w:t>
            </w:r>
          </w:p>
        </w:tc>
        <w:tc>
          <w:tcPr>
            <w:tcW w:w="1020" w:type="dxa"/>
          </w:tcPr>
          <w:p w:rsidR="008A2208" w:rsidRPr="008A2208" w:rsidRDefault="008A2208" w:rsidP="008A220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sidRPr="008A2208">
              <w:rPr>
                <w:sz w:val="20"/>
              </w:rPr>
              <w:t>25</w:t>
            </w:r>
          </w:p>
        </w:tc>
        <w:tc>
          <w:tcPr>
            <w:tcW w:w="1020" w:type="dxa"/>
          </w:tcPr>
          <w:p w:rsidR="008A2208" w:rsidRPr="008A2208" w:rsidRDefault="008A2208" w:rsidP="008A220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sz w:val="20"/>
              </w:rPr>
            </w:pPr>
            <w:r w:rsidRPr="008A2208">
              <w:rPr>
                <w:sz w:val="20"/>
              </w:rPr>
              <w:t>25</w:t>
            </w:r>
          </w:p>
        </w:tc>
      </w:tr>
    </w:tbl>
    <w:p w:rsidR="00A2239D" w:rsidRDefault="00A2239D" w:rsidP="00A2239D">
      <w:pPr>
        <w:spacing w:before="0" w:after="120"/>
        <w:rPr>
          <w:rFonts w:cs="Arial-ItalicMT"/>
          <w:iCs/>
          <w:sz w:val="18"/>
          <w:szCs w:val="18"/>
        </w:rPr>
      </w:pPr>
      <w:r w:rsidRPr="00DA6B2E">
        <w:rPr>
          <w:sz w:val="16"/>
          <w:szCs w:val="16"/>
        </w:rPr>
        <w:t xml:space="preserve">Zdroj: </w:t>
      </w:r>
      <w:r w:rsidR="00977220">
        <w:rPr>
          <w:sz w:val="16"/>
          <w:szCs w:val="16"/>
        </w:rPr>
        <w:t>MěÚ</w:t>
      </w:r>
      <w:r>
        <w:rPr>
          <w:sz w:val="16"/>
          <w:szCs w:val="16"/>
        </w:rPr>
        <w:t xml:space="preserve"> Ostrov</w:t>
      </w:r>
    </w:p>
    <w:p w:rsidR="00C91BC3" w:rsidRDefault="00C91BC3" w:rsidP="00C91BC3">
      <w:pPr>
        <w:spacing w:before="120" w:after="120"/>
        <w:rPr>
          <w:rFonts w:asciiTheme="minorHAnsi" w:hAnsiTheme="minorHAnsi" w:cs="Arial-ItalicMT"/>
          <w:bCs/>
          <w:i/>
          <w:iCs/>
          <w:color w:val="FF0000"/>
          <w:spacing w:val="10"/>
          <w:szCs w:val="22"/>
        </w:rPr>
      </w:pPr>
    </w:p>
    <w:p w:rsidR="00E857A5" w:rsidRPr="00C91BC3" w:rsidRDefault="00E857A5" w:rsidP="00C91BC3">
      <w:pPr>
        <w:spacing w:before="120" w:after="120"/>
        <w:rPr>
          <w:rFonts w:asciiTheme="minorHAnsi" w:hAnsiTheme="minorHAnsi" w:cs="Arial-ItalicMT"/>
          <w:bCs/>
          <w:i/>
          <w:iCs/>
          <w:color w:val="FF0000"/>
          <w:spacing w:val="10"/>
          <w:szCs w:val="22"/>
        </w:rPr>
      </w:pPr>
      <w:r w:rsidRPr="00C91BC3">
        <w:rPr>
          <w:rFonts w:asciiTheme="minorHAnsi" w:hAnsiTheme="minorHAnsi" w:cs="Arial-ItalicMT"/>
          <w:bCs/>
          <w:i/>
          <w:iCs/>
          <w:color w:val="FF0000"/>
          <w:spacing w:val="10"/>
          <w:szCs w:val="22"/>
        </w:rPr>
        <w:br w:type="page"/>
      </w:r>
    </w:p>
    <w:p w:rsidR="00001931" w:rsidRPr="00FB73DB" w:rsidRDefault="00001931" w:rsidP="00001931">
      <w:pPr>
        <w:pStyle w:val="Nadpis4"/>
        <w:pBdr>
          <w:top w:val="none" w:sz="0" w:space="0" w:color="auto"/>
          <w:left w:val="none" w:sz="0" w:space="0" w:color="auto"/>
        </w:pBdr>
        <w:shd w:val="clear" w:color="auto" w:fill="372C74"/>
        <w:spacing w:before="0" w:after="200"/>
        <w:ind w:firstLine="0"/>
        <w:rPr>
          <w:color w:val="auto"/>
          <w:spacing w:val="4"/>
          <w:szCs w:val="24"/>
        </w:rPr>
      </w:pPr>
      <w:bookmarkStart w:id="92" w:name="_Toc516058322"/>
      <w:r w:rsidRPr="00FB73DB">
        <w:rPr>
          <w:color w:val="auto"/>
          <w:spacing w:val="4"/>
          <w:szCs w:val="24"/>
        </w:rPr>
        <w:lastRenderedPageBreak/>
        <w:t>II. Školství a vzdělávání</w:t>
      </w:r>
      <w:bookmarkEnd w:id="92"/>
      <w:r w:rsidRPr="00FB73DB">
        <w:rPr>
          <w:color w:val="auto"/>
          <w:spacing w:val="4"/>
          <w:szCs w:val="24"/>
        </w:rPr>
        <w:t xml:space="preserve"> </w:t>
      </w:r>
    </w:p>
    <w:p w:rsidR="00343EE3" w:rsidRDefault="00343EE3" w:rsidP="00343EE3">
      <w:pPr>
        <w:spacing w:before="120" w:after="120"/>
      </w:pPr>
      <w:r w:rsidRPr="00343EE3">
        <w:t xml:space="preserve">Město Ostrov je zřizovatelem </w:t>
      </w:r>
      <w:r>
        <w:t>5</w:t>
      </w:r>
      <w:r w:rsidRPr="00343EE3">
        <w:t xml:space="preserve"> mateřských škol a </w:t>
      </w:r>
      <w:r>
        <w:t>4</w:t>
      </w:r>
      <w:r w:rsidRPr="00343EE3">
        <w:t xml:space="preserve"> škol základních (z toho </w:t>
      </w:r>
      <w:r>
        <w:t>jedné Základní školy umělecké</w:t>
      </w:r>
      <w:r w:rsidRPr="00343EE3">
        <w:t xml:space="preserve">). </w:t>
      </w:r>
    </w:p>
    <w:p w:rsidR="00343EE3" w:rsidRDefault="00343EE3" w:rsidP="00343EE3">
      <w:pPr>
        <w:spacing w:before="120" w:after="120"/>
      </w:pPr>
      <w:r w:rsidRPr="00343EE3">
        <w:t>Kraj je na území města Ostrova zřizovatelem Základní školy praktické</w:t>
      </w:r>
      <w:r>
        <w:t xml:space="preserve"> a</w:t>
      </w:r>
      <w:r w:rsidRPr="00343EE3">
        <w:t xml:space="preserve"> dvou středních škol</w:t>
      </w:r>
      <w:r>
        <w:t xml:space="preserve">. </w:t>
      </w:r>
    </w:p>
    <w:p w:rsidR="00343EE3" w:rsidRDefault="00343EE3" w:rsidP="00343EE3">
      <w:pPr>
        <w:spacing w:before="120" w:after="120"/>
      </w:pPr>
      <w:r w:rsidRPr="00343EE3">
        <w:t>Krajský úřad je rovněž zřizovatelem Dětského domova v Ostrově.</w:t>
      </w:r>
    </w:p>
    <w:p w:rsidR="00BE68AA" w:rsidRPr="00343EE3" w:rsidRDefault="00BE68AA" w:rsidP="00343EE3">
      <w:pPr>
        <w:pStyle w:val="Nadpis6"/>
        <w:rPr>
          <w:rFonts w:asciiTheme="majorHAnsi" w:hAnsiTheme="majorHAnsi"/>
        </w:rPr>
      </w:pPr>
      <w:r w:rsidRPr="00343EE3">
        <w:rPr>
          <w:rFonts w:asciiTheme="majorHAnsi" w:hAnsiTheme="majorHAnsi"/>
        </w:rPr>
        <w:t>Školství</w:t>
      </w:r>
    </w:p>
    <w:p w:rsidR="00BE68AA" w:rsidRDefault="00BE68AA" w:rsidP="00E857A5">
      <w:pPr>
        <w:pStyle w:val="Nadpis7"/>
        <w:spacing w:before="120"/>
        <w:rPr>
          <w:rFonts w:asciiTheme="majorHAnsi" w:hAnsiTheme="majorHAnsi"/>
          <w:b/>
          <w:sz w:val="20"/>
          <w:szCs w:val="20"/>
        </w:rPr>
      </w:pPr>
      <w:r w:rsidRPr="004A3E24">
        <w:rPr>
          <w:rFonts w:asciiTheme="majorHAnsi" w:hAnsiTheme="majorHAnsi"/>
          <w:b/>
          <w:sz w:val="20"/>
          <w:szCs w:val="20"/>
        </w:rPr>
        <w:t>Mateřské školy</w:t>
      </w:r>
    </w:p>
    <w:p w:rsidR="00B313C5" w:rsidRDefault="00B313C5" w:rsidP="00A2511A">
      <w:pPr>
        <w:spacing w:before="120" w:after="120"/>
      </w:pPr>
      <w:r>
        <w:t>Ve městě je v provozu 5 mateřských škol:</w:t>
      </w:r>
    </w:p>
    <w:tbl>
      <w:tblPr>
        <w:tblW w:w="7312" w:type="dxa"/>
        <w:tblInd w:w="1346" w:type="dxa"/>
        <w:tblCellMar>
          <w:left w:w="70" w:type="dxa"/>
          <w:right w:w="70" w:type="dxa"/>
        </w:tblCellMar>
        <w:tblLook w:val="04A0" w:firstRow="1" w:lastRow="0" w:firstColumn="1" w:lastColumn="0" w:noHBand="0" w:noVBand="1"/>
      </w:tblPr>
      <w:tblGrid>
        <w:gridCol w:w="7312"/>
      </w:tblGrid>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 xml:space="preserve">Mateřská škola </w:t>
            </w:r>
            <w:r>
              <w:t xml:space="preserve">JVM </w:t>
            </w:r>
            <w:r w:rsidRPr="000B5269">
              <w:t>Ostrov</w:t>
            </w:r>
            <w:r w:rsidR="0052020E">
              <w:t>, Myslbekova 996</w:t>
            </w:r>
          </w:p>
        </w:tc>
      </w:tr>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Mateřská škola Ostrov, Masarykova 1195</w:t>
            </w:r>
          </w:p>
        </w:tc>
      </w:tr>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Mateřská škola Ostrov, Halasova 765</w:t>
            </w:r>
          </w:p>
        </w:tc>
      </w:tr>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Mateřská škola Ostrov, Krušnohorská 766</w:t>
            </w:r>
          </w:p>
        </w:tc>
      </w:tr>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Mateřská škola Ostrov, Palackého 1045</w:t>
            </w:r>
          </w:p>
        </w:tc>
      </w:tr>
    </w:tbl>
    <w:p w:rsidR="00BE68AA" w:rsidRDefault="00BE68AA" w:rsidP="00A2511A">
      <w:pPr>
        <w:pStyle w:val="Nadpis7"/>
        <w:spacing w:before="120"/>
        <w:rPr>
          <w:rFonts w:asciiTheme="majorHAnsi" w:hAnsiTheme="majorHAnsi"/>
          <w:b/>
          <w:sz w:val="20"/>
          <w:szCs w:val="20"/>
        </w:rPr>
      </w:pPr>
      <w:r w:rsidRPr="004A3E24">
        <w:rPr>
          <w:rFonts w:asciiTheme="majorHAnsi" w:hAnsiTheme="majorHAnsi"/>
          <w:b/>
          <w:sz w:val="20"/>
          <w:szCs w:val="20"/>
        </w:rPr>
        <w:t>Základní školy</w:t>
      </w:r>
    </w:p>
    <w:p w:rsidR="00B313C5" w:rsidRDefault="00B313C5" w:rsidP="00A2511A">
      <w:pPr>
        <w:spacing w:before="120" w:after="120"/>
      </w:pPr>
      <w:r>
        <w:t>Ve městě je v provozu 5 základních škol:</w:t>
      </w:r>
    </w:p>
    <w:tbl>
      <w:tblPr>
        <w:tblW w:w="7312" w:type="dxa"/>
        <w:tblInd w:w="1346" w:type="dxa"/>
        <w:tblCellMar>
          <w:left w:w="70" w:type="dxa"/>
          <w:right w:w="70" w:type="dxa"/>
        </w:tblCellMar>
        <w:tblLook w:val="04A0" w:firstRow="1" w:lastRow="0" w:firstColumn="1" w:lastColumn="0" w:noHBand="0" w:noVBand="1"/>
      </w:tblPr>
      <w:tblGrid>
        <w:gridCol w:w="7312"/>
      </w:tblGrid>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52020E">
            <w:pPr>
              <w:spacing w:before="0" w:after="0" w:line="240" w:lineRule="auto"/>
            </w:pPr>
            <w:r w:rsidRPr="000B5269">
              <w:t>Základní škola Josefa Václava Myslbeka Ostrov</w:t>
            </w:r>
            <w:r w:rsidR="0052020E">
              <w:t>, Myslbekova 996</w:t>
            </w:r>
          </w:p>
        </w:tc>
      </w:tr>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Základní škola Ostrov, Májová 997</w:t>
            </w:r>
          </w:p>
        </w:tc>
      </w:tr>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Základní škola Ostrov, Masarykova 1289</w:t>
            </w:r>
          </w:p>
        </w:tc>
      </w:tr>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Základní umělecká škola Ostrov</w:t>
            </w:r>
          </w:p>
        </w:tc>
      </w:tr>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Základní škola praktická a základní škola speciální Ostrov</w:t>
            </w:r>
          </w:p>
        </w:tc>
      </w:tr>
    </w:tbl>
    <w:p w:rsidR="00BE68AA" w:rsidRPr="004A3E24" w:rsidRDefault="00BE68AA" w:rsidP="00A2511A">
      <w:pPr>
        <w:pStyle w:val="Nadpis7"/>
        <w:spacing w:before="120"/>
        <w:rPr>
          <w:rFonts w:asciiTheme="majorHAnsi" w:hAnsiTheme="majorHAnsi"/>
          <w:b/>
          <w:sz w:val="20"/>
          <w:szCs w:val="20"/>
        </w:rPr>
      </w:pPr>
      <w:r w:rsidRPr="004A3E24">
        <w:rPr>
          <w:rFonts w:asciiTheme="majorHAnsi" w:hAnsiTheme="majorHAnsi"/>
          <w:b/>
          <w:sz w:val="20"/>
          <w:szCs w:val="20"/>
        </w:rPr>
        <w:t>Střední školy</w:t>
      </w:r>
    </w:p>
    <w:p w:rsidR="00930DAD" w:rsidRDefault="00B313C5" w:rsidP="00A2511A">
      <w:pPr>
        <w:spacing w:before="120" w:after="120"/>
        <w:rPr>
          <w:rFonts w:asciiTheme="majorHAnsi" w:hAnsiTheme="majorHAnsi"/>
        </w:rPr>
      </w:pPr>
      <w:r>
        <w:rPr>
          <w:rFonts w:asciiTheme="majorHAnsi" w:hAnsiTheme="majorHAnsi"/>
        </w:rPr>
        <w:t>Ve městě jsou v provozu 2 střední školy:</w:t>
      </w:r>
    </w:p>
    <w:tbl>
      <w:tblPr>
        <w:tblW w:w="7312" w:type="dxa"/>
        <w:tblInd w:w="1346" w:type="dxa"/>
        <w:tblCellMar>
          <w:left w:w="70" w:type="dxa"/>
          <w:right w:w="70" w:type="dxa"/>
        </w:tblCellMar>
        <w:tblLook w:val="04A0" w:firstRow="1" w:lastRow="0" w:firstColumn="1" w:lastColumn="0" w:noHBand="0" w:noVBand="1"/>
      </w:tblPr>
      <w:tblGrid>
        <w:gridCol w:w="7312"/>
      </w:tblGrid>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Pr="000B5269" w:rsidRDefault="00B313C5" w:rsidP="00B313C5">
            <w:pPr>
              <w:spacing w:before="0" w:after="0" w:line="240" w:lineRule="auto"/>
            </w:pPr>
            <w:r w:rsidRPr="000B5269">
              <w:t>Střední průmyslová škola Ostrov</w:t>
            </w:r>
          </w:p>
        </w:tc>
      </w:tr>
      <w:tr w:rsidR="00B313C5" w:rsidRPr="000B5269" w:rsidTr="00A2511A">
        <w:trPr>
          <w:trHeight w:val="288"/>
        </w:trPr>
        <w:tc>
          <w:tcPr>
            <w:tcW w:w="7312" w:type="dxa"/>
            <w:tcBorders>
              <w:top w:val="nil"/>
              <w:left w:val="nil"/>
              <w:bottom w:val="nil"/>
              <w:right w:val="nil"/>
            </w:tcBorders>
            <w:shd w:val="clear" w:color="auto" w:fill="auto"/>
            <w:noWrap/>
            <w:vAlign w:val="bottom"/>
            <w:hideMark/>
          </w:tcPr>
          <w:p w:rsidR="00B313C5" w:rsidRDefault="00B313C5" w:rsidP="00B313C5">
            <w:pPr>
              <w:spacing w:before="0" w:after="0" w:line="240" w:lineRule="auto"/>
            </w:pPr>
            <w:r w:rsidRPr="000B5269">
              <w:t>Gymnázium Ostrov</w:t>
            </w:r>
          </w:p>
          <w:p w:rsidR="00D70FC9" w:rsidRPr="000B5269" w:rsidRDefault="00D70FC9" w:rsidP="00B313C5">
            <w:pPr>
              <w:spacing w:before="0" w:after="0" w:line="240" w:lineRule="auto"/>
            </w:pPr>
          </w:p>
        </w:tc>
      </w:tr>
    </w:tbl>
    <w:p w:rsidR="00343EE3" w:rsidRDefault="00343EE3" w:rsidP="00343EE3">
      <w:pPr>
        <w:spacing w:before="0" w:after="120"/>
        <w:rPr>
          <w:rFonts w:cs="Arial-ItalicMT"/>
          <w:iCs/>
          <w:sz w:val="18"/>
          <w:szCs w:val="18"/>
        </w:rPr>
      </w:pPr>
      <w:bookmarkStart w:id="93" w:name="_Toc516059034"/>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25</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sidR="00D70FC9" w:rsidRPr="00D70FC9">
        <w:rPr>
          <w:rFonts w:cs="Arial-ItalicMT"/>
          <w:iCs/>
          <w:sz w:val="18"/>
          <w:szCs w:val="18"/>
        </w:rPr>
        <w:t>Kapacity a obsazenost předškolního a základního školství</w:t>
      </w:r>
      <w:bookmarkEnd w:id="93"/>
    </w:p>
    <w:tbl>
      <w:tblPr>
        <w:tblW w:w="9069" w:type="dxa"/>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ayout w:type="fixed"/>
        <w:tblLook w:val="04A0" w:firstRow="1" w:lastRow="0" w:firstColumn="1" w:lastColumn="0" w:noHBand="0" w:noVBand="1"/>
      </w:tblPr>
      <w:tblGrid>
        <w:gridCol w:w="1587"/>
        <w:gridCol w:w="1247"/>
        <w:gridCol w:w="1247"/>
        <w:gridCol w:w="1247"/>
        <w:gridCol w:w="1247"/>
        <w:gridCol w:w="1247"/>
        <w:gridCol w:w="1247"/>
      </w:tblGrid>
      <w:tr w:rsidR="00A2511A" w:rsidRPr="004E0661" w:rsidTr="00A2239D">
        <w:trPr>
          <w:tblHeader/>
        </w:trPr>
        <w:tc>
          <w:tcPr>
            <w:tcW w:w="1587" w:type="dxa"/>
            <w:tcBorders>
              <w:top w:val="single" w:sz="12" w:space="0" w:color="372C74"/>
              <w:left w:val="single" w:sz="12" w:space="0" w:color="372C74"/>
              <w:bottom w:val="single" w:sz="12" w:space="0" w:color="FFFFFF"/>
              <w:right w:val="nil"/>
              <w:tl2br w:val="nil"/>
              <w:tr2bl w:val="nil"/>
            </w:tcBorders>
            <w:shd w:val="clear" w:color="auto" w:fill="372C74"/>
            <w:vAlign w:val="center"/>
          </w:tcPr>
          <w:p w:rsidR="00A2511A" w:rsidRPr="004E0661" w:rsidRDefault="00A2511A" w:rsidP="00A2239D">
            <w:pPr>
              <w:spacing w:before="0" w:after="0" w:line="240" w:lineRule="auto"/>
              <w:jc w:val="center"/>
              <w:rPr>
                <w:b/>
                <w:sz w:val="20"/>
              </w:rPr>
            </w:pPr>
          </w:p>
        </w:tc>
        <w:tc>
          <w:tcPr>
            <w:tcW w:w="3741" w:type="dxa"/>
            <w:gridSpan w:val="3"/>
            <w:tcBorders>
              <w:top w:val="single" w:sz="12" w:space="0" w:color="372C74"/>
              <w:left w:val="nil"/>
              <w:bottom w:val="single" w:sz="12" w:space="0" w:color="FFFFFF"/>
              <w:right w:val="nil"/>
              <w:tl2br w:val="nil"/>
              <w:tr2bl w:val="nil"/>
            </w:tcBorders>
            <w:shd w:val="clear" w:color="auto" w:fill="372C74"/>
            <w:vAlign w:val="center"/>
          </w:tcPr>
          <w:p w:rsidR="00A2511A" w:rsidRPr="004E0661" w:rsidRDefault="00A2511A" w:rsidP="00A2239D">
            <w:pPr>
              <w:spacing w:before="0" w:after="0" w:line="240" w:lineRule="auto"/>
              <w:jc w:val="center"/>
              <w:rPr>
                <w:b/>
                <w:sz w:val="20"/>
              </w:rPr>
            </w:pPr>
            <w:r w:rsidRPr="004E0661">
              <w:rPr>
                <w:b/>
                <w:sz w:val="20"/>
              </w:rPr>
              <w:t>Mateřské školy</w:t>
            </w:r>
          </w:p>
        </w:tc>
        <w:tc>
          <w:tcPr>
            <w:tcW w:w="3741" w:type="dxa"/>
            <w:gridSpan w:val="3"/>
            <w:tcBorders>
              <w:top w:val="single" w:sz="12" w:space="0" w:color="372C74"/>
              <w:left w:val="nil"/>
              <w:bottom w:val="single" w:sz="12" w:space="0" w:color="FFFFFF"/>
              <w:right w:val="single" w:sz="12" w:space="0" w:color="372C74"/>
              <w:tl2br w:val="nil"/>
              <w:tr2bl w:val="nil"/>
            </w:tcBorders>
            <w:shd w:val="clear" w:color="auto" w:fill="372C74"/>
            <w:vAlign w:val="center"/>
          </w:tcPr>
          <w:p w:rsidR="00A2511A" w:rsidRPr="004E0661" w:rsidRDefault="00A2511A" w:rsidP="00A2239D">
            <w:pPr>
              <w:spacing w:before="0" w:after="0" w:line="240" w:lineRule="auto"/>
              <w:jc w:val="center"/>
              <w:rPr>
                <w:b/>
                <w:sz w:val="20"/>
              </w:rPr>
            </w:pPr>
            <w:r w:rsidRPr="004E0661">
              <w:rPr>
                <w:b/>
                <w:sz w:val="20"/>
              </w:rPr>
              <w:t>Základní školy</w:t>
            </w:r>
          </w:p>
        </w:tc>
      </w:tr>
      <w:tr w:rsidR="00A2511A" w:rsidRPr="004E0661" w:rsidTr="00A2511A">
        <w:trPr>
          <w:trHeight w:val="492"/>
          <w:tblHeader/>
        </w:trPr>
        <w:tc>
          <w:tcPr>
            <w:tcW w:w="1587" w:type="dxa"/>
            <w:tcBorders>
              <w:top w:val="single" w:sz="12" w:space="0" w:color="FFFFFF"/>
              <w:left w:val="single" w:sz="12" w:space="0" w:color="372C74"/>
              <w:bottom w:val="single" w:sz="12" w:space="0" w:color="FFFFFF"/>
              <w:right w:val="nil"/>
              <w:tl2br w:val="nil"/>
              <w:tr2bl w:val="nil"/>
            </w:tcBorders>
            <w:shd w:val="clear" w:color="auto" w:fill="372C74"/>
            <w:vAlign w:val="center"/>
          </w:tcPr>
          <w:p w:rsidR="00A2511A" w:rsidRPr="004E0661" w:rsidRDefault="00A2511A" w:rsidP="00A2239D">
            <w:pPr>
              <w:spacing w:before="0" w:after="0" w:line="240" w:lineRule="auto"/>
              <w:jc w:val="center"/>
              <w:rPr>
                <w:b/>
                <w:sz w:val="20"/>
              </w:rPr>
            </w:pPr>
            <w:r w:rsidRPr="004E0661">
              <w:rPr>
                <w:b/>
                <w:sz w:val="20"/>
              </w:rPr>
              <w:t>Školní rok</w:t>
            </w:r>
          </w:p>
        </w:tc>
        <w:tc>
          <w:tcPr>
            <w:tcW w:w="1247" w:type="dxa"/>
            <w:tcBorders>
              <w:top w:val="single" w:sz="12" w:space="0" w:color="FFFFFF"/>
              <w:left w:val="nil"/>
              <w:bottom w:val="single" w:sz="12" w:space="0" w:color="FFFFFF"/>
              <w:right w:val="nil"/>
              <w:tl2br w:val="nil"/>
              <w:tr2bl w:val="nil"/>
            </w:tcBorders>
            <w:shd w:val="clear" w:color="auto" w:fill="372C74"/>
            <w:vAlign w:val="center"/>
          </w:tcPr>
          <w:p w:rsidR="00A2511A" w:rsidRPr="004E0661" w:rsidRDefault="00A2511A" w:rsidP="00A2239D">
            <w:pPr>
              <w:spacing w:before="0" w:after="0" w:line="240" w:lineRule="auto"/>
              <w:jc w:val="center"/>
              <w:rPr>
                <w:b/>
                <w:sz w:val="20"/>
              </w:rPr>
            </w:pPr>
            <w:r w:rsidRPr="004E0661">
              <w:rPr>
                <w:b/>
                <w:sz w:val="20"/>
              </w:rPr>
              <w:t>Kapacita</w:t>
            </w:r>
          </w:p>
        </w:tc>
        <w:tc>
          <w:tcPr>
            <w:tcW w:w="1247" w:type="dxa"/>
            <w:tcBorders>
              <w:top w:val="single" w:sz="12" w:space="0" w:color="FFFFFF"/>
              <w:left w:val="nil"/>
              <w:bottom w:val="single" w:sz="12" w:space="0" w:color="FFFFFF"/>
              <w:right w:val="nil"/>
              <w:tl2br w:val="nil"/>
              <w:tr2bl w:val="nil"/>
            </w:tcBorders>
            <w:shd w:val="clear" w:color="auto" w:fill="372C74"/>
            <w:vAlign w:val="center"/>
          </w:tcPr>
          <w:p w:rsidR="00A2511A" w:rsidRPr="004E0661" w:rsidRDefault="00A2511A" w:rsidP="00A2239D">
            <w:pPr>
              <w:spacing w:before="0" w:after="0" w:line="240" w:lineRule="auto"/>
              <w:jc w:val="center"/>
              <w:rPr>
                <w:b/>
                <w:sz w:val="20"/>
              </w:rPr>
            </w:pPr>
            <w:r w:rsidRPr="004E0661">
              <w:rPr>
                <w:b/>
                <w:sz w:val="20"/>
              </w:rPr>
              <w:t>Vytíženost</w:t>
            </w:r>
          </w:p>
        </w:tc>
        <w:tc>
          <w:tcPr>
            <w:tcW w:w="1247" w:type="dxa"/>
            <w:tcBorders>
              <w:top w:val="single" w:sz="12" w:space="0" w:color="FFFFFF"/>
              <w:left w:val="nil"/>
              <w:bottom w:val="single" w:sz="12" w:space="0" w:color="FFFFFF"/>
              <w:right w:val="nil"/>
              <w:tl2br w:val="nil"/>
              <w:tr2bl w:val="nil"/>
            </w:tcBorders>
            <w:shd w:val="clear" w:color="auto" w:fill="372C74"/>
            <w:vAlign w:val="center"/>
          </w:tcPr>
          <w:p w:rsidR="00A2511A" w:rsidRPr="004E0661" w:rsidRDefault="00A2511A" w:rsidP="00A2239D">
            <w:pPr>
              <w:spacing w:before="0" w:after="0" w:line="240" w:lineRule="auto"/>
              <w:jc w:val="center"/>
              <w:rPr>
                <w:b/>
                <w:sz w:val="20"/>
              </w:rPr>
            </w:pPr>
            <w:r w:rsidRPr="004E0661">
              <w:rPr>
                <w:b/>
                <w:sz w:val="20"/>
              </w:rPr>
              <w:t>Využití v %</w:t>
            </w:r>
          </w:p>
        </w:tc>
        <w:tc>
          <w:tcPr>
            <w:tcW w:w="1247" w:type="dxa"/>
            <w:tcBorders>
              <w:top w:val="single" w:sz="12" w:space="0" w:color="FFFFFF"/>
              <w:left w:val="nil"/>
              <w:bottom w:val="single" w:sz="12" w:space="0" w:color="FFFFFF"/>
              <w:right w:val="nil"/>
              <w:tl2br w:val="nil"/>
              <w:tr2bl w:val="nil"/>
            </w:tcBorders>
            <w:shd w:val="clear" w:color="auto" w:fill="372C74"/>
            <w:vAlign w:val="center"/>
          </w:tcPr>
          <w:p w:rsidR="00A2511A" w:rsidRPr="004E0661" w:rsidRDefault="00A2511A" w:rsidP="00A2239D">
            <w:pPr>
              <w:spacing w:before="0" w:after="0" w:line="240" w:lineRule="auto"/>
              <w:jc w:val="center"/>
              <w:rPr>
                <w:b/>
                <w:sz w:val="20"/>
              </w:rPr>
            </w:pPr>
            <w:r w:rsidRPr="004E0661">
              <w:rPr>
                <w:b/>
                <w:sz w:val="20"/>
              </w:rPr>
              <w:t>Kapacita</w:t>
            </w:r>
          </w:p>
        </w:tc>
        <w:tc>
          <w:tcPr>
            <w:tcW w:w="1247" w:type="dxa"/>
            <w:tcBorders>
              <w:top w:val="single" w:sz="12" w:space="0" w:color="FFFFFF"/>
              <w:left w:val="nil"/>
              <w:bottom w:val="single" w:sz="12" w:space="0" w:color="FFFFFF"/>
              <w:right w:val="nil"/>
              <w:tl2br w:val="nil"/>
              <w:tr2bl w:val="nil"/>
            </w:tcBorders>
            <w:shd w:val="clear" w:color="auto" w:fill="372C74"/>
            <w:vAlign w:val="center"/>
          </w:tcPr>
          <w:p w:rsidR="00A2511A" w:rsidRPr="004E0661" w:rsidRDefault="00A2511A" w:rsidP="00A2239D">
            <w:pPr>
              <w:spacing w:before="0" w:after="0" w:line="240" w:lineRule="auto"/>
              <w:jc w:val="center"/>
              <w:rPr>
                <w:b/>
                <w:sz w:val="20"/>
              </w:rPr>
            </w:pPr>
            <w:r w:rsidRPr="004E0661">
              <w:rPr>
                <w:b/>
                <w:sz w:val="20"/>
              </w:rPr>
              <w:t>Vytíženost</w:t>
            </w:r>
          </w:p>
        </w:tc>
        <w:tc>
          <w:tcPr>
            <w:tcW w:w="1247" w:type="dxa"/>
            <w:tcBorders>
              <w:top w:val="single" w:sz="12" w:space="0" w:color="FFFFFF"/>
              <w:left w:val="nil"/>
              <w:bottom w:val="single" w:sz="12" w:space="0" w:color="FFFFFF"/>
              <w:right w:val="single" w:sz="12" w:space="0" w:color="372C74"/>
              <w:tl2br w:val="nil"/>
              <w:tr2bl w:val="nil"/>
            </w:tcBorders>
            <w:shd w:val="clear" w:color="auto" w:fill="372C74"/>
            <w:vAlign w:val="center"/>
          </w:tcPr>
          <w:p w:rsidR="00A2511A" w:rsidRPr="004E0661" w:rsidRDefault="00A2511A" w:rsidP="00A2239D">
            <w:pPr>
              <w:spacing w:before="0" w:after="0" w:line="240" w:lineRule="auto"/>
              <w:jc w:val="center"/>
              <w:rPr>
                <w:b/>
                <w:sz w:val="20"/>
              </w:rPr>
            </w:pPr>
            <w:r w:rsidRPr="004E0661">
              <w:rPr>
                <w:b/>
                <w:sz w:val="20"/>
              </w:rPr>
              <w:t>Využití v %</w:t>
            </w:r>
          </w:p>
        </w:tc>
      </w:tr>
      <w:tr w:rsidR="00343EE3" w:rsidRPr="004E0661" w:rsidTr="00A2511A">
        <w:tc>
          <w:tcPr>
            <w:tcW w:w="1587" w:type="dxa"/>
            <w:tcBorders>
              <w:top w:val="single" w:sz="12" w:space="0" w:color="FFFFFF"/>
              <w:left w:val="single" w:sz="12" w:space="0" w:color="372C74"/>
              <w:bottom w:val="nil"/>
              <w:right w:val="single" w:sz="12" w:space="0" w:color="372C74"/>
              <w:tl2br w:val="nil"/>
              <w:tr2bl w:val="nil"/>
            </w:tcBorders>
            <w:shd w:val="clear" w:color="auto" w:fill="auto"/>
            <w:vAlign w:val="center"/>
          </w:tcPr>
          <w:p w:rsidR="00343EE3" w:rsidRPr="004E0661" w:rsidRDefault="00A2511A" w:rsidP="00A2511A">
            <w:pPr>
              <w:autoSpaceDE w:val="0"/>
              <w:autoSpaceDN w:val="0"/>
              <w:adjustRightInd w:val="0"/>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2010/2011</w:t>
            </w:r>
          </w:p>
        </w:tc>
        <w:tc>
          <w:tcPr>
            <w:tcW w:w="1247" w:type="dxa"/>
            <w:tcBorders>
              <w:top w:val="single" w:sz="12" w:space="0" w:color="FFFFFF"/>
            </w:tcBorders>
            <w:shd w:val="clear" w:color="auto" w:fill="auto"/>
            <w:vAlign w:val="center"/>
          </w:tcPr>
          <w:p w:rsidR="00343EE3" w:rsidRPr="004E0661" w:rsidRDefault="00A2511A" w:rsidP="00A2239D">
            <w:pPr>
              <w:spacing w:before="0" w:after="0" w:line="240" w:lineRule="auto"/>
              <w:jc w:val="center"/>
              <w:rPr>
                <w:rFonts w:cs="Arial"/>
                <w:sz w:val="20"/>
              </w:rPr>
            </w:pPr>
            <w:r w:rsidRPr="004E0661">
              <w:rPr>
                <w:rFonts w:cs="Arial"/>
                <w:sz w:val="20"/>
              </w:rPr>
              <w:t>519</w:t>
            </w:r>
          </w:p>
        </w:tc>
        <w:tc>
          <w:tcPr>
            <w:tcW w:w="1247" w:type="dxa"/>
            <w:tcBorders>
              <w:top w:val="single" w:sz="12" w:space="0" w:color="FFFFFF"/>
            </w:tcBorders>
            <w:shd w:val="clear" w:color="auto" w:fill="auto"/>
            <w:vAlign w:val="center"/>
          </w:tcPr>
          <w:p w:rsidR="00343EE3" w:rsidRPr="004E0661" w:rsidRDefault="00A2511A" w:rsidP="00A2239D">
            <w:pPr>
              <w:spacing w:before="0" w:after="0" w:line="240" w:lineRule="auto"/>
              <w:jc w:val="center"/>
              <w:rPr>
                <w:rFonts w:cs="Arial"/>
                <w:i/>
                <w:sz w:val="20"/>
              </w:rPr>
            </w:pPr>
            <w:r w:rsidRPr="004E0661">
              <w:rPr>
                <w:rFonts w:cs="Arial"/>
                <w:i/>
                <w:sz w:val="20"/>
              </w:rPr>
              <w:t>508</w:t>
            </w:r>
          </w:p>
        </w:tc>
        <w:tc>
          <w:tcPr>
            <w:tcW w:w="1247" w:type="dxa"/>
            <w:tcBorders>
              <w:top w:val="single" w:sz="12" w:space="0" w:color="FFFFFF"/>
            </w:tcBorders>
            <w:shd w:val="clear" w:color="auto" w:fill="auto"/>
            <w:vAlign w:val="center"/>
          </w:tcPr>
          <w:p w:rsidR="00343EE3" w:rsidRPr="004E0661" w:rsidRDefault="00A2511A" w:rsidP="00A2239D">
            <w:pPr>
              <w:spacing w:before="0" w:after="0" w:line="240" w:lineRule="auto"/>
              <w:jc w:val="center"/>
              <w:rPr>
                <w:sz w:val="20"/>
              </w:rPr>
            </w:pPr>
            <w:r w:rsidRPr="004E0661">
              <w:rPr>
                <w:sz w:val="20"/>
              </w:rPr>
              <w:t>97,88</w:t>
            </w:r>
          </w:p>
        </w:tc>
        <w:tc>
          <w:tcPr>
            <w:tcW w:w="1247" w:type="dxa"/>
            <w:tcBorders>
              <w:top w:val="single" w:sz="12" w:space="0" w:color="FFFFFF"/>
            </w:tcBorders>
            <w:shd w:val="clear" w:color="auto" w:fill="auto"/>
            <w:vAlign w:val="center"/>
          </w:tcPr>
          <w:p w:rsidR="00343EE3" w:rsidRPr="004E0661" w:rsidRDefault="00A2511A" w:rsidP="00A2239D">
            <w:pPr>
              <w:spacing w:before="0" w:after="0" w:line="240" w:lineRule="auto"/>
              <w:jc w:val="center"/>
              <w:rPr>
                <w:sz w:val="20"/>
              </w:rPr>
            </w:pPr>
            <w:r w:rsidRPr="004E0661">
              <w:rPr>
                <w:sz w:val="20"/>
              </w:rPr>
              <w:t>1 802</w:t>
            </w:r>
          </w:p>
        </w:tc>
        <w:tc>
          <w:tcPr>
            <w:tcW w:w="1247" w:type="dxa"/>
            <w:tcBorders>
              <w:top w:val="single" w:sz="12" w:space="0" w:color="FFFFFF"/>
            </w:tcBorders>
            <w:shd w:val="clear" w:color="auto" w:fill="auto"/>
            <w:vAlign w:val="center"/>
          </w:tcPr>
          <w:p w:rsidR="00343EE3" w:rsidRPr="004E0661" w:rsidRDefault="00A2511A" w:rsidP="00A2239D">
            <w:pPr>
              <w:spacing w:before="0" w:after="0" w:line="240" w:lineRule="auto"/>
              <w:jc w:val="center"/>
              <w:rPr>
                <w:rFonts w:cs="Arial"/>
                <w:sz w:val="20"/>
              </w:rPr>
            </w:pPr>
            <w:r w:rsidRPr="004E0661">
              <w:rPr>
                <w:rFonts w:cs="Arial"/>
                <w:sz w:val="20"/>
              </w:rPr>
              <w:t>1391</w:t>
            </w:r>
          </w:p>
        </w:tc>
        <w:tc>
          <w:tcPr>
            <w:tcW w:w="1247" w:type="dxa"/>
            <w:tcBorders>
              <w:top w:val="single" w:sz="12" w:space="0" w:color="FFFFFF"/>
            </w:tcBorders>
            <w:shd w:val="clear" w:color="auto" w:fill="auto"/>
            <w:vAlign w:val="center"/>
          </w:tcPr>
          <w:p w:rsidR="00343EE3" w:rsidRPr="004E0661" w:rsidRDefault="00A2511A" w:rsidP="00A2239D">
            <w:pPr>
              <w:autoSpaceDE w:val="0"/>
              <w:autoSpaceDN w:val="0"/>
              <w:adjustRightInd w:val="0"/>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77,19</w:t>
            </w:r>
          </w:p>
        </w:tc>
      </w:tr>
      <w:tr w:rsidR="00343EE3" w:rsidRPr="004E0661" w:rsidTr="00A2511A">
        <w:tc>
          <w:tcPr>
            <w:tcW w:w="1587" w:type="dxa"/>
            <w:tcBorders>
              <w:left w:val="single" w:sz="12" w:space="0" w:color="372C74"/>
              <w:right w:val="single" w:sz="12" w:space="0" w:color="372C74"/>
              <w:tl2br w:val="nil"/>
              <w:tr2bl w:val="nil"/>
            </w:tcBorders>
            <w:shd w:val="clear" w:color="auto" w:fill="auto"/>
            <w:vAlign w:val="center"/>
          </w:tcPr>
          <w:p w:rsidR="00343EE3" w:rsidRPr="004E0661" w:rsidRDefault="00A2511A" w:rsidP="00A2511A">
            <w:pPr>
              <w:autoSpaceDE w:val="0"/>
              <w:autoSpaceDN w:val="0"/>
              <w:adjustRightInd w:val="0"/>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2011/2012</w:t>
            </w:r>
          </w:p>
        </w:tc>
        <w:tc>
          <w:tcPr>
            <w:tcW w:w="1247" w:type="dxa"/>
            <w:shd w:val="clear" w:color="auto" w:fill="auto"/>
            <w:vAlign w:val="center"/>
          </w:tcPr>
          <w:p w:rsidR="00343EE3" w:rsidRPr="004E0661" w:rsidRDefault="00A2511A" w:rsidP="00A2239D">
            <w:pPr>
              <w:spacing w:before="0" w:after="0" w:line="240" w:lineRule="auto"/>
              <w:jc w:val="center"/>
              <w:rPr>
                <w:rFonts w:cs="Arial"/>
                <w:sz w:val="20"/>
              </w:rPr>
            </w:pPr>
            <w:r w:rsidRPr="004E0661">
              <w:rPr>
                <w:rFonts w:cs="Arial"/>
                <w:sz w:val="20"/>
              </w:rPr>
              <w:t>519</w:t>
            </w:r>
          </w:p>
        </w:tc>
        <w:tc>
          <w:tcPr>
            <w:tcW w:w="1247" w:type="dxa"/>
            <w:shd w:val="clear" w:color="auto" w:fill="auto"/>
            <w:vAlign w:val="center"/>
          </w:tcPr>
          <w:p w:rsidR="00343EE3" w:rsidRPr="004E0661" w:rsidRDefault="00A2511A" w:rsidP="00A2239D">
            <w:pPr>
              <w:spacing w:before="0" w:after="0" w:line="240" w:lineRule="auto"/>
              <w:jc w:val="center"/>
              <w:rPr>
                <w:rFonts w:cs="Arial"/>
                <w:i/>
                <w:sz w:val="20"/>
              </w:rPr>
            </w:pPr>
            <w:r w:rsidRPr="004E0661">
              <w:rPr>
                <w:rFonts w:cs="Arial"/>
                <w:i/>
                <w:sz w:val="20"/>
              </w:rPr>
              <w:t>501</w:t>
            </w:r>
          </w:p>
        </w:tc>
        <w:tc>
          <w:tcPr>
            <w:tcW w:w="1247" w:type="dxa"/>
            <w:shd w:val="clear" w:color="auto" w:fill="auto"/>
            <w:vAlign w:val="center"/>
          </w:tcPr>
          <w:p w:rsidR="00343EE3" w:rsidRPr="004E0661" w:rsidRDefault="00A2511A" w:rsidP="00A2239D">
            <w:pPr>
              <w:spacing w:before="0" w:after="0" w:line="240" w:lineRule="auto"/>
              <w:jc w:val="center"/>
              <w:rPr>
                <w:sz w:val="20"/>
              </w:rPr>
            </w:pPr>
            <w:r w:rsidRPr="004E0661">
              <w:rPr>
                <w:sz w:val="20"/>
              </w:rPr>
              <w:t>98,84</w:t>
            </w:r>
          </w:p>
        </w:tc>
        <w:tc>
          <w:tcPr>
            <w:tcW w:w="1247" w:type="dxa"/>
            <w:shd w:val="clear" w:color="auto" w:fill="auto"/>
            <w:vAlign w:val="center"/>
          </w:tcPr>
          <w:p w:rsidR="00343EE3" w:rsidRPr="004E0661" w:rsidRDefault="00A2511A" w:rsidP="00A2239D">
            <w:pPr>
              <w:spacing w:before="0" w:after="0" w:line="240" w:lineRule="auto"/>
              <w:jc w:val="center"/>
              <w:rPr>
                <w:sz w:val="20"/>
              </w:rPr>
            </w:pPr>
            <w:r w:rsidRPr="004E0661">
              <w:rPr>
                <w:sz w:val="20"/>
              </w:rPr>
              <w:t>1 802</w:t>
            </w:r>
          </w:p>
        </w:tc>
        <w:tc>
          <w:tcPr>
            <w:tcW w:w="1247" w:type="dxa"/>
            <w:shd w:val="clear" w:color="auto" w:fill="auto"/>
            <w:vAlign w:val="center"/>
          </w:tcPr>
          <w:p w:rsidR="00343EE3" w:rsidRPr="004E0661" w:rsidRDefault="00A2511A" w:rsidP="00A2239D">
            <w:pPr>
              <w:spacing w:before="0" w:after="0" w:line="240" w:lineRule="auto"/>
              <w:jc w:val="center"/>
              <w:rPr>
                <w:rFonts w:cs="Arial"/>
                <w:sz w:val="20"/>
              </w:rPr>
            </w:pPr>
            <w:r w:rsidRPr="004E0661">
              <w:rPr>
                <w:rFonts w:cs="Arial"/>
                <w:sz w:val="20"/>
              </w:rPr>
              <w:t>1339</w:t>
            </w:r>
          </w:p>
        </w:tc>
        <w:tc>
          <w:tcPr>
            <w:tcW w:w="1247" w:type="dxa"/>
            <w:shd w:val="clear" w:color="auto" w:fill="auto"/>
            <w:vAlign w:val="center"/>
          </w:tcPr>
          <w:p w:rsidR="00343EE3" w:rsidRPr="004E0661" w:rsidRDefault="00A2511A" w:rsidP="00A2239D">
            <w:pPr>
              <w:autoSpaceDE w:val="0"/>
              <w:autoSpaceDN w:val="0"/>
              <w:adjustRightInd w:val="0"/>
              <w:spacing w:before="0" w:after="0" w:line="240" w:lineRule="auto"/>
              <w:jc w:val="center"/>
              <w:rPr>
                <w:rFonts w:cs="Arial"/>
                <w:sz w:val="20"/>
              </w:rPr>
            </w:pPr>
            <w:r w:rsidRPr="004E0661">
              <w:rPr>
                <w:rFonts w:cs="Arial"/>
                <w:sz w:val="20"/>
              </w:rPr>
              <w:t>74,31</w:t>
            </w:r>
          </w:p>
        </w:tc>
      </w:tr>
      <w:tr w:rsidR="00343EE3" w:rsidRPr="004E0661" w:rsidTr="00A2511A">
        <w:tc>
          <w:tcPr>
            <w:tcW w:w="1587" w:type="dxa"/>
            <w:tcBorders>
              <w:left w:val="single" w:sz="12" w:space="0" w:color="372C74"/>
              <w:right w:val="single" w:sz="12" w:space="0" w:color="372C74"/>
              <w:tl2br w:val="nil"/>
              <w:tr2bl w:val="nil"/>
            </w:tcBorders>
            <w:shd w:val="clear" w:color="auto" w:fill="auto"/>
            <w:vAlign w:val="center"/>
          </w:tcPr>
          <w:p w:rsidR="00343EE3" w:rsidRPr="004E0661" w:rsidRDefault="00A2511A" w:rsidP="00A2511A">
            <w:pPr>
              <w:autoSpaceDE w:val="0"/>
              <w:autoSpaceDN w:val="0"/>
              <w:adjustRightInd w:val="0"/>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2012/2013</w:t>
            </w:r>
          </w:p>
        </w:tc>
        <w:tc>
          <w:tcPr>
            <w:tcW w:w="1247" w:type="dxa"/>
            <w:shd w:val="clear" w:color="auto" w:fill="auto"/>
            <w:vAlign w:val="center"/>
          </w:tcPr>
          <w:p w:rsidR="00343EE3" w:rsidRPr="004E0661" w:rsidRDefault="00A2511A" w:rsidP="00A2239D">
            <w:pPr>
              <w:spacing w:before="0" w:after="0" w:line="240" w:lineRule="auto"/>
              <w:jc w:val="center"/>
              <w:rPr>
                <w:rFonts w:cs="Arial"/>
                <w:sz w:val="20"/>
              </w:rPr>
            </w:pPr>
            <w:r w:rsidRPr="004E0661">
              <w:rPr>
                <w:rFonts w:cs="Arial"/>
                <w:sz w:val="20"/>
              </w:rPr>
              <w:t>531</w:t>
            </w:r>
          </w:p>
        </w:tc>
        <w:tc>
          <w:tcPr>
            <w:tcW w:w="1247" w:type="dxa"/>
            <w:shd w:val="clear" w:color="auto" w:fill="auto"/>
            <w:vAlign w:val="center"/>
          </w:tcPr>
          <w:p w:rsidR="00343EE3" w:rsidRPr="004E0661" w:rsidRDefault="00A2511A" w:rsidP="00A2239D">
            <w:pPr>
              <w:spacing w:before="0" w:after="0" w:line="240" w:lineRule="auto"/>
              <w:jc w:val="center"/>
              <w:rPr>
                <w:rFonts w:cs="Arial"/>
                <w:i/>
                <w:sz w:val="20"/>
              </w:rPr>
            </w:pPr>
            <w:r w:rsidRPr="004E0661">
              <w:rPr>
                <w:rFonts w:cs="Arial"/>
                <w:i/>
                <w:sz w:val="20"/>
              </w:rPr>
              <w:t>527</w:t>
            </w:r>
          </w:p>
        </w:tc>
        <w:tc>
          <w:tcPr>
            <w:tcW w:w="1247" w:type="dxa"/>
            <w:shd w:val="clear" w:color="auto" w:fill="auto"/>
            <w:vAlign w:val="center"/>
          </w:tcPr>
          <w:p w:rsidR="00343EE3" w:rsidRPr="004E0661" w:rsidRDefault="00A2511A" w:rsidP="00A2239D">
            <w:pPr>
              <w:spacing w:before="0" w:after="0" w:line="240" w:lineRule="auto"/>
              <w:jc w:val="center"/>
              <w:rPr>
                <w:sz w:val="20"/>
              </w:rPr>
            </w:pPr>
            <w:r w:rsidRPr="004E0661">
              <w:rPr>
                <w:sz w:val="20"/>
              </w:rPr>
              <w:t>99,25</w:t>
            </w:r>
          </w:p>
        </w:tc>
        <w:tc>
          <w:tcPr>
            <w:tcW w:w="1247" w:type="dxa"/>
            <w:shd w:val="clear" w:color="auto" w:fill="auto"/>
            <w:vAlign w:val="center"/>
          </w:tcPr>
          <w:p w:rsidR="00343EE3" w:rsidRPr="004E0661" w:rsidRDefault="00A2511A" w:rsidP="00A2239D">
            <w:pPr>
              <w:spacing w:before="0" w:after="0" w:line="240" w:lineRule="auto"/>
              <w:jc w:val="center"/>
              <w:rPr>
                <w:sz w:val="20"/>
              </w:rPr>
            </w:pPr>
            <w:r w:rsidRPr="004E0661">
              <w:rPr>
                <w:sz w:val="20"/>
              </w:rPr>
              <w:t>1 802</w:t>
            </w:r>
          </w:p>
        </w:tc>
        <w:tc>
          <w:tcPr>
            <w:tcW w:w="1247" w:type="dxa"/>
            <w:shd w:val="clear" w:color="auto" w:fill="auto"/>
            <w:vAlign w:val="center"/>
          </w:tcPr>
          <w:p w:rsidR="00343EE3" w:rsidRPr="004E0661" w:rsidRDefault="00A2511A" w:rsidP="00A2239D">
            <w:pPr>
              <w:spacing w:before="0" w:after="0" w:line="240" w:lineRule="auto"/>
              <w:jc w:val="center"/>
              <w:rPr>
                <w:rFonts w:cs="Arial"/>
                <w:sz w:val="20"/>
              </w:rPr>
            </w:pPr>
            <w:r w:rsidRPr="004E0661">
              <w:rPr>
                <w:rFonts w:cs="Arial"/>
                <w:sz w:val="20"/>
              </w:rPr>
              <w:t>1404</w:t>
            </w:r>
          </w:p>
        </w:tc>
        <w:tc>
          <w:tcPr>
            <w:tcW w:w="1247" w:type="dxa"/>
            <w:shd w:val="clear" w:color="auto" w:fill="auto"/>
            <w:vAlign w:val="center"/>
          </w:tcPr>
          <w:p w:rsidR="00343EE3" w:rsidRPr="004E0661" w:rsidRDefault="00A2511A" w:rsidP="00A2239D">
            <w:pPr>
              <w:spacing w:before="0" w:after="0" w:line="240" w:lineRule="auto"/>
              <w:jc w:val="center"/>
              <w:rPr>
                <w:rFonts w:cs="Arial"/>
                <w:sz w:val="20"/>
              </w:rPr>
            </w:pPr>
            <w:r w:rsidRPr="004E0661">
              <w:rPr>
                <w:rFonts w:cs="Arial"/>
                <w:sz w:val="20"/>
              </w:rPr>
              <w:t>77,91</w:t>
            </w:r>
          </w:p>
        </w:tc>
      </w:tr>
      <w:tr w:rsidR="00A2511A" w:rsidRPr="004E0661" w:rsidTr="00A2511A">
        <w:tc>
          <w:tcPr>
            <w:tcW w:w="1587" w:type="dxa"/>
            <w:tcBorders>
              <w:left w:val="single" w:sz="12" w:space="0" w:color="372C74"/>
              <w:right w:val="single" w:sz="12" w:space="0" w:color="372C74"/>
              <w:tl2br w:val="nil"/>
              <w:tr2bl w:val="nil"/>
            </w:tcBorders>
            <w:shd w:val="clear" w:color="auto" w:fill="auto"/>
            <w:vAlign w:val="center"/>
          </w:tcPr>
          <w:p w:rsidR="00A2511A" w:rsidRPr="004E0661" w:rsidRDefault="00A2511A" w:rsidP="00A2511A">
            <w:pPr>
              <w:autoSpaceDE w:val="0"/>
              <w:autoSpaceDN w:val="0"/>
              <w:adjustRightInd w:val="0"/>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2013/2014</w:t>
            </w:r>
          </w:p>
        </w:tc>
        <w:tc>
          <w:tcPr>
            <w:tcW w:w="1247" w:type="dxa"/>
            <w:shd w:val="clear" w:color="auto" w:fill="auto"/>
            <w:vAlign w:val="center"/>
          </w:tcPr>
          <w:p w:rsidR="00A2511A" w:rsidRPr="004E0661" w:rsidRDefault="00A2511A" w:rsidP="00A2239D">
            <w:pPr>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535</w:t>
            </w:r>
          </w:p>
        </w:tc>
        <w:tc>
          <w:tcPr>
            <w:tcW w:w="1247" w:type="dxa"/>
            <w:shd w:val="clear" w:color="auto" w:fill="auto"/>
            <w:vAlign w:val="center"/>
          </w:tcPr>
          <w:p w:rsidR="00A2511A" w:rsidRPr="004E0661" w:rsidRDefault="00A2511A" w:rsidP="00A2239D">
            <w:pPr>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531</w:t>
            </w:r>
          </w:p>
        </w:tc>
        <w:tc>
          <w:tcPr>
            <w:tcW w:w="1247" w:type="dxa"/>
            <w:shd w:val="clear" w:color="auto" w:fill="auto"/>
            <w:vAlign w:val="center"/>
          </w:tcPr>
          <w:p w:rsidR="00A2511A" w:rsidRPr="004E0661" w:rsidRDefault="00A2511A" w:rsidP="00A2239D">
            <w:pPr>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99,25</w:t>
            </w:r>
          </w:p>
        </w:tc>
        <w:tc>
          <w:tcPr>
            <w:tcW w:w="1247" w:type="dxa"/>
            <w:shd w:val="clear" w:color="auto" w:fill="auto"/>
            <w:vAlign w:val="center"/>
          </w:tcPr>
          <w:p w:rsidR="00A2511A" w:rsidRPr="004E0661" w:rsidRDefault="00A2511A" w:rsidP="00A2239D">
            <w:pPr>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1 802</w:t>
            </w:r>
          </w:p>
        </w:tc>
        <w:tc>
          <w:tcPr>
            <w:tcW w:w="1247" w:type="dxa"/>
            <w:shd w:val="clear" w:color="auto" w:fill="auto"/>
            <w:vAlign w:val="center"/>
          </w:tcPr>
          <w:p w:rsidR="00A2511A" w:rsidRPr="004E0661" w:rsidRDefault="00A2511A" w:rsidP="00A2239D">
            <w:pPr>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1459</w:t>
            </w:r>
          </w:p>
        </w:tc>
        <w:tc>
          <w:tcPr>
            <w:tcW w:w="1247" w:type="dxa"/>
            <w:shd w:val="clear" w:color="auto" w:fill="auto"/>
            <w:vAlign w:val="center"/>
          </w:tcPr>
          <w:p w:rsidR="00A2511A" w:rsidRPr="004E0661" w:rsidRDefault="00A2511A" w:rsidP="00A2239D">
            <w:pPr>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80,97</w:t>
            </w:r>
          </w:p>
        </w:tc>
      </w:tr>
      <w:tr w:rsidR="001429F2" w:rsidRPr="004E0661" w:rsidTr="00A2511A">
        <w:tc>
          <w:tcPr>
            <w:tcW w:w="1587" w:type="dxa"/>
            <w:tcBorders>
              <w:left w:val="single" w:sz="12" w:space="0" w:color="372C74"/>
              <w:right w:val="single" w:sz="12" w:space="0" w:color="372C74"/>
              <w:tl2br w:val="nil"/>
              <w:tr2bl w:val="nil"/>
            </w:tcBorders>
            <w:shd w:val="clear" w:color="auto" w:fill="auto"/>
            <w:vAlign w:val="center"/>
          </w:tcPr>
          <w:p w:rsidR="001429F2" w:rsidRPr="004E0661" w:rsidRDefault="001429F2" w:rsidP="00A2511A">
            <w:pPr>
              <w:autoSpaceDE w:val="0"/>
              <w:autoSpaceDN w:val="0"/>
              <w:adjustRightInd w:val="0"/>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2014/2015</w:t>
            </w:r>
          </w:p>
        </w:tc>
        <w:tc>
          <w:tcPr>
            <w:tcW w:w="1247" w:type="dxa"/>
            <w:shd w:val="clear" w:color="auto" w:fill="auto"/>
            <w:vAlign w:val="center"/>
          </w:tcPr>
          <w:p w:rsidR="001429F2" w:rsidRPr="00C70921" w:rsidRDefault="001429F2" w:rsidP="00494E54">
            <w:pPr>
              <w:spacing w:before="0" w:after="0" w:line="240" w:lineRule="auto"/>
              <w:jc w:val="center"/>
              <w:rPr>
                <w:rFonts w:asciiTheme="minorHAnsi" w:hAnsiTheme="minorHAnsi" w:cs="ArialMT"/>
                <w:spacing w:val="0"/>
                <w:sz w:val="20"/>
                <w:lang w:bidi="ar-SA"/>
              </w:rPr>
            </w:pPr>
            <w:r>
              <w:rPr>
                <w:rFonts w:asciiTheme="minorHAnsi" w:hAnsiTheme="minorHAnsi" w:cs="ArialMT"/>
                <w:spacing w:val="0"/>
                <w:sz w:val="20"/>
                <w:lang w:bidi="ar-SA"/>
              </w:rPr>
              <w:t>551</w:t>
            </w:r>
          </w:p>
        </w:tc>
        <w:tc>
          <w:tcPr>
            <w:tcW w:w="1247" w:type="dxa"/>
            <w:shd w:val="clear" w:color="auto" w:fill="auto"/>
            <w:vAlign w:val="center"/>
          </w:tcPr>
          <w:p w:rsidR="001429F2" w:rsidRPr="00C70921" w:rsidRDefault="001429F2" w:rsidP="00494E54">
            <w:pPr>
              <w:spacing w:before="0" w:after="0" w:line="240" w:lineRule="auto"/>
              <w:jc w:val="center"/>
              <w:rPr>
                <w:rFonts w:asciiTheme="minorHAnsi" w:hAnsiTheme="minorHAnsi" w:cs="ArialMT"/>
                <w:spacing w:val="0"/>
                <w:sz w:val="20"/>
                <w:lang w:bidi="ar-SA"/>
              </w:rPr>
            </w:pPr>
            <w:r>
              <w:rPr>
                <w:rFonts w:asciiTheme="minorHAnsi" w:hAnsiTheme="minorHAnsi" w:cs="ArialMT"/>
                <w:spacing w:val="0"/>
                <w:sz w:val="20"/>
                <w:lang w:bidi="ar-SA"/>
              </w:rPr>
              <w:t>551</w:t>
            </w:r>
          </w:p>
        </w:tc>
        <w:tc>
          <w:tcPr>
            <w:tcW w:w="1247" w:type="dxa"/>
            <w:shd w:val="clear" w:color="auto" w:fill="auto"/>
            <w:vAlign w:val="center"/>
          </w:tcPr>
          <w:p w:rsidR="001429F2" w:rsidRPr="00C70921" w:rsidRDefault="001429F2" w:rsidP="00494E54">
            <w:pPr>
              <w:spacing w:before="0" w:after="0" w:line="240" w:lineRule="auto"/>
              <w:jc w:val="center"/>
              <w:rPr>
                <w:rFonts w:asciiTheme="minorHAnsi" w:hAnsiTheme="minorHAnsi" w:cs="ArialMT"/>
                <w:spacing w:val="0"/>
                <w:sz w:val="20"/>
                <w:lang w:bidi="ar-SA"/>
              </w:rPr>
            </w:pPr>
            <w:r>
              <w:rPr>
                <w:rFonts w:asciiTheme="minorHAnsi" w:hAnsiTheme="minorHAnsi" w:cs="ArialMT"/>
                <w:spacing w:val="0"/>
                <w:sz w:val="20"/>
                <w:lang w:bidi="ar-SA"/>
              </w:rPr>
              <w:t>100,00</w:t>
            </w:r>
          </w:p>
        </w:tc>
        <w:tc>
          <w:tcPr>
            <w:tcW w:w="1247" w:type="dxa"/>
            <w:shd w:val="clear" w:color="auto" w:fill="auto"/>
            <w:vAlign w:val="center"/>
          </w:tcPr>
          <w:p w:rsidR="001429F2" w:rsidRPr="00C70921" w:rsidRDefault="001429F2" w:rsidP="00494E54">
            <w:pPr>
              <w:spacing w:before="0" w:after="0" w:line="240" w:lineRule="auto"/>
              <w:jc w:val="center"/>
              <w:rPr>
                <w:rFonts w:asciiTheme="minorHAnsi" w:hAnsiTheme="minorHAnsi" w:cs="ArialMT"/>
                <w:spacing w:val="0"/>
                <w:sz w:val="20"/>
                <w:lang w:bidi="ar-SA"/>
              </w:rPr>
            </w:pPr>
            <w:r>
              <w:rPr>
                <w:rFonts w:asciiTheme="minorHAnsi" w:hAnsiTheme="minorHAnsi" w:cs="ArialMT"/>
                <w:spacing w:val="0"/>
                <w:sz w:val="20"/>
                <w:lang w:bidi="ar-SA"/>
              </w:rPr>
              <w:t>1 802</w:t>
            </w:r>
          </w:p>
        </w:tc>
        <w:tc>
          <w:tcPr>
            <w:tcW w:w="1247" w:type="dxa"/>
            <w:shd w:val="clear" w:color="auto" w:fill="auto"/>
            <w:vAlign w:val="center"/>
          </w:tcPr>
          <w:p w:rsidR="001429F2" w:rsidRPr="00C70921" w:rsidRDefault="001429F2" w:rsidP="00494E54">
            <w:pPr>
              <w:spacing w:before="0" w:after="0" w:line="240" w:lineRule="auto"/>
              <w:jc w:val="center"/>
              <w:rPr>
                <w:rFonts w:asciiTheme="minorHAnsi" w:hAnsiTheme="minorHAnsi" w:cs="ArialMT"/>
                <w:spacing w:val="0"/>
                <w:sz w:val="20"/>
                <w:lang w:bidi="ar-SA"/>
              </w:rPr>
            </w:pPr>
            <w:r>
              <w:rPr>
                <w:rFonts w:asciiTheme="minorHAnsi" w:hAnsiTheme="minorHAnsi" w:cs="ArialMT"/>
                <w:spacing w:val="0"/>
                <w:sz w:val="20"/>
                <w:lang w:bidi="ar-SA"/>
              </w:rPr>
              <w:t>1 446</w:t>
            </w:r>
          </w:p>
        </w:tc>
        <w:tc>
          <w:tcPr>
            <w:tcW w:w="1247" w:type="dxa"/>
            <w:shd w:val="clear" w:color="auto" w:fill="auto"/>
            <w:vAlign w:val="center"/>
          </w:tcPr>
          <w:p w:rsidR="001429F2" w:rsidRPr="00C70921" w:rsidRDefault="001429F2" w:rsidP="00494E54">
            <w:pPr>
              <w:spacing w:before="0" w:after="0" w:line="240" w:lineRule="auto"/>
              <w:jc w:val="center"/>
              <w:rPr>
                <w:rFonts w:asciiTheme="minorHAnsi" w:hAnsiTheme="minorHAnsi" w:cs="ArialMT"/>
                <w:spacing w:val="0"/>
                <w:sz w:val="20"/>
                <w:lang w:bidi="ar-SA"/>
              </w:rPr>
            </w:pPr>
            <w:r>
              <w:rPr>
                <w:rFonts w:asciiTheme="minorHAnsi" w:hAnsiTheme="minorHAnsi" w:cs="ArialMT"/>
                <w:spacing w:val="0"/>
                <w:sz w:val="20"/>
                <w:lang w:bidi="ar-SA"/>
              </w:rPr>
              <w:t>80,24</w:t>
            </w:r>
          </w:p>
        </w:tc>
      </w:tr>
      <w:tr w:rsidR="001429F2" w:rsidRPr="004E0661" w:rsidTr="00A2511A">
        <w:tc>
          <w:tcPr>
            <w:tcW w:w="1587" w:type="dxa"/>
            <w:tcBorders>
              <w:left w:val="single" w:sz="12" w:space="0" w:color="372C74"/>
              <w:right w:val="single" w:sz="12" w:space="0" w:color="372C74"/>
              <w:tl2br w:val="nil"/>
              <w:tr2bl w:val="nil"/>
            </w:tcBorders>
            <w:shd w:val="clear" w:color="auto" w:fill="auto"/>
            <w:vAlign w:val="center"/>
          </w:tcPr>
          <w:p w:rsidR="001429F2" w:rsidRPr="004E0661" w:rsidRDefault="001429F2" w:rsidP="00A2511A">
            <w:pPr>
              <w:autoSpaceDE w:val="0"/>
              <w:autoSpaceDN w:val="0"/>
              <w:adjustRightInd w:val="0"/>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2015/2016</w:t>
            </w:r>
          </w:p>
        </w:tc>
        <w:tc>
          <w:tcPr>
            <w:tcW w:w="1247" w:type="dxa"/>
            <w:shd w:val="clear" w:color="auto" w:fill="auto"/>
            <w:vAlign w:val="center"/>
          </w:tcPr>
          <w:p w:rsidR="001429F2" w:rsidRPr="00C70921" w:rsidRDefault="001429F2" w:rsidP="00494E54">
            <w:pPr>
              <w:spacing w:before="0" w:after="0" w:line="240" w:lineRule="auto"/>
              <w:jc w:val="center"/>
              <w:rPr>
                <w:rFonts w:cs="Arial"/>
                <w:sz w:val="20"/>
              </w:rPr>
            </w:pPr>
            <w:r>
              <w:rPr>
                <w:rFonts w:cs="Arial"/>
                <w:sz w:val="20"/>
              </w:rPr>
              <w:t>551</w:t>
            </w:r>
          </w:p>
        </w:tc>
        <w:tc>
          <w:tcPr>
            <w:tcW w:w="1247" w:type="dxa"/>
            <w:shd w:val="clear" w:color="auto" w:fill="auto"/>
            <w:vAlign w:val="center"/>
          </w:tcPr>
          <w:p w:rsidR="001429F2" w:rsidRPr="00C70921" w:rsidRDefault="001429F2" w:rsidP="00494E54">
            <w:pPr>
              <w:spacing w:before="0" w:after="0" w:line="240" w:lineRule="auto"/>
              <w:jc w:val="center"/>
              <w:rPr>
                <w:rFonts w:cs="Arial"/>
                <w:i/>
                <w:sz w:val="20"/>
              </w:rPr>
            </w:pPr>
            <w:r>
              <w:rPr>
                <w:rFonts w:cs="Arial"/>
                <w:i/>
                <w:sz w:val="20"/>
              </w:rPr>
              <w:t>536</w:t>
            </w:r>
          </w:p>
        </w:tc>
        <w:tc>
          <w:tcPr>
            <w:tcW w:w="1247" w:type="dxa"/>
            <w:shd w:val="clear" w:color="auto" w:fill="auto"/>
            <w:vAlign w:val="center"/>
          </w:tcPr>
          <w:p w:rsidR="001429F2" w:rsidRPr="00C70921" w:rsidRDefault="001429F2" w:rsidP="00494E54">
            <w:pPr>
              <w:spacing w:before="0" w:after="0" w:line="240" w:lineRule="auto"/>
              <w:jc w:val="center"/>
              <w:rPr>
                <w:sz w:val="20"/>
              </w:rPr>
            </w:pPr>
            <w:r>
              <w:rPr>
                <w:sz w:val="20"/>
              </w:rPr>
              <w:t>97,27</w:t>
            </w:r>
          </w:p>
        </w:tc>
        <w:tc>
          <w:tcPr>
            <w:tcW w:w="1247" w:type="dxa"/>
            <w:shd w:val="clear" w:color="auto" w:fill="auto"/>
            <w:vAlign w:val="center"/>
          </w:tcPr>
          <w:p w:rsidR="001429F2" w:rsidRPr="00C70921" w:rsidRDefault="001429F2" w:rsidP="00494E54">
            <w:pPr>
              <w:spacing w:before="0" w:after="0" w:line="240" w:lineRule="auto"/>
              <w:jc w:val="center"/>
              <w:rPr>
                <w:sz w:val="20"/>
              </w:rPr>
            </w:pPr>
            <w:r>
              <w:rPr>
                <w:sz w:val="20"/>
              </w:rPr>
              <w:t>1 802</w:t>
            </w:r>
          </w:p>
        </w:tc>
        <w:tc>
          <w:tcPr>
            <w:tcW w:w="1247" w:type="dxa"/>
            <w:shd w:val="clear" w:color="auto" w:fill="auto"/>
            <w:vAlign w:val="center"/>
          </w:tcPr>
          <w:p w:rsidR="001429F2" w:rsidRPr="00C70921" w:rsidRDefault="001429F2" w:rsidP="00494E54">
            <w:pPr>
              <w:spacing w:before="0" w:after="0" w:line="240" w:lineRule="auto"/>
              <w:jc w:val="center"/>
              <w:rPr>
                <w:rFonts w:cs="Arial"/>
                <w:sz w:val="20"/>
              </w:rPr>
            </w:pPr>
            <w:r>
              <w:rPr>
                <w:rFonts w:cs="Arial"/>
                <w:sz w:val="20"/>
              </w:rPr>
              <w:t>1 496</w:t>
            </w:r>
          </w:p>
        </w:tc>
        <w:tc>
          <w:tcPr>
            <w:tcW w:w="1247" w:type="dxa"/>
            <w:shd w:val="clear" w:color="auto" w:fill="auto"/>
            <w:vAlign w:val="center"/>
          </w:tcPr>
          <w:p w:rsidR="001429F2" w:rsidRPr="00C70921" w:rsidRDefault="001429F2" w:rsidP="00494E54">
            <w:pPr>
              <w:spacing w:before="0" w:after="0" w:line="240" w:lineRule="auto"/>
              <w:jc w:val="center"/>
              <w:rPr>
                <w:rFonts w:cs="Arial"/>
                <w:sz w:val="20"/>
              </w:rPr>
            </w:pPr>
            <w:r>
              <w:rPr>
                <w:rFonts w:cs="Arial"/>
                <w:sz w:val="20"/>
              </w:rPr>
              <w:t>83,01</w:t>
            </w:r>
          </w:p>
        </w:tc>
      </w:tr>
      <w:tr w:rsidR="001429F2" w:rsidRPr="004E0661" w:rsidTr="00A2511A">
        <w:tc>
          <w:tcPr>
            <w:tcW w:w="1587" w:type="dxa"/>
            <w:tcBorders>
              <w:left w:val="single" w:sz="12" w:space="0" w:color="372C74"/>
              <w:right w:val="single" w:sz="12" w:space="0" w:color="372C74"/>
              <w:tl2br w:val="nil"/>
              <w:tr2bl w:val="nil"/>
            </w:tcBorders>
            <w:shd w:val="clear" w:color="auto" w:fill="auto"/>
            <w:vAlign w:val="center"/>
          </w:tcPr>
          <w:p w:rsidR="001429F2" w:rsidRPr="004E0661" w:rsidRDefault="001429F2" w:rsidP="00A2511A">
            <w:pPr>
              <w:autoSpaceDE w:val="0"/>
              <w:autoSpaceDN w:val="0"/>
              <w:adjustRightInd w:val="0"/>
              <w:spacing w:before="0" w:after="0" w:line="240" w:lineRule="auto"/>
              <w:jc w:val="center"/>
              <w:rPr>
                <w:rFonts w:asciiTheme="minorHAnsi" w:hAnsiTheme="minorHAnsi" w:cs="ArialMT"/>
                <w:spacing w:val="0"/>
                <w:sz w:val="20"/>
                <w:lang w:bidi="ar-SA"/>
              </w:rPr>
            </w:pPr>
            <w:r w:rsidRPr="004E0661">
              <w:rPr>
                <w:rFonts w:asciiTheme="minorHAnsi" w:hAnsiTheme="minorHAnsi" w:cs="ArialMT"/>
                <w:spacing w:val="0"/>
                <w:sz w:val="20"/>
                <w:lang w:bidi="ar-SA"/>
              </w:rPr>
              <w:t>2016/2017</w:t>
            </w:r>
          </w:p>
        </w:tc>
        <w:tc>
          <w:tcPr>
            <w:tcW w:w="1247" w:type="dxa"/>
            <w:shd w:val="clear" w:color="auto" w:fill="auto"/>
            <w:vAlign w:val="center"/>
          </w:tcPr>
          <w:p w:rsidR="001429F2" w:rsidRPr="00C70921" w:rsidRDefault="001429F2" w:rsidP="00494E54">
            <w:pPr>
              <w:spacing w:before="0" w:after="0" w:line="240" w:lineRule="auto"/>
              <w:jc w:val="center"/>
              <w:rPr>
                <w:rFonts w:cs="Arial"/>
                <w:sz w:val="20"/>
              </w:rPr>
            </w:pPr>
            <w:r>
              <w:rPr>
                <w:rFonts w:cs="Arial"/>
                <w:sz w:val="20"/>
              </w:rPr>
              <w:t>551</w:t>
            </w:r>
          </w:p>
        </w:tc>
        <w:tc>
          <w:tcPr>
            <w:tcW w:w="1247" w:type="dxa"/>
            <w:shd w:val="clear" w:color="auto" w:fill="auto"/>
            <w:vAlign w:val="center"/>
          </w:tcPr>
          <w:p w:rsidR="001429F2" w:rsidRPr="00C70921" w:rsidRDefault="001429F2" w:rsidP="00494E54">
            <w:pPr>
              <w:spacing w:before="0" w:after="0" w:line="240" w:lineRule="auto"/>
              <w:jc w:val="center"/>
              <w:rPr>
                <w:rFonts w:cs="Arial"/>
                <w:i/>
                <w:sz w:val="20"/>
              </w:rPr>
            </w:pPr>
            <w:r>
              <w:rPr>
                <w:rFonts w:cs="Arial"/>
                <w:i/>
                <w:sz w:val="20"/>
              </w:rPr>
              <w:t>529</w:t>
            </w:r>
          </w:p>
        </w:tc>
        <w:tc>
          <w:tcPr>
            <w:tcW w:w="1247" w:type="dxa"/>
            <w:shd w:val="clear" w:color="auto" w:fill="auto"/>
            <w:vAlign w:val="center"/>
          </w:tcPr>
          <w:p w:rsidR="001429F2" w:rsidRPr="00C70921" w:rsidRDefault="001429F2" w:rsidP="00494E54">
            <w:pPr>
              <w:spacing w:before="0" w:after="0" w:line="240" w:lineRule="auto"/>
              <w:jc w:val="center"/>
              <w:rPr>
                <w:sz w:val="20"/>
              </w:rPr>
            </w:pPr>
            <w:r>
              <w:rPr>
                <w:sz w:val="20"/>
              </w:rPr>
              <w:t>96,00</w:t>
            </w:r>
          </w:p>
        </w:tc>
        <w:tc>
          <w:tcPr>
            <w:tcW w:w="1247" w:type="dxa"/>
            <w:shd w:val="clear" w:color="auto" w:fill="auto"/>
            <w:vAlign w:val="center"/>
          </w:tcPr>
          <w:p w:rsidR="001429F2" w:rsidRPr="00C70921" w:rsidRDefault="001429F2" w:rsidP="00494E54">
            <w:pPr>
              <w:spacing w:before="0" w:after="0" w:line="240" w:lineRule="auto"/>
              <w:jc w:val="center"/>
              <w:rPr>
                <w:sz w:val="20"/>
              </w:rPr>
            </w:pPr>
            <w:r>
              <w:rPr>
                <w:sz w:val="20"/>
              </w:rPr>
              <w:t>1 802</w:t>
            </w:r>
          </w:p>
        </w:tc>
        <w:tc>
          <w:tcPr>
            <w:tcW w:w="1247" w:type="dxa"/>
            <w:shd w:val="clear" w:color="auto" w:fill="auto"/>
            <w:vAlign w:val="center"/>
          </w:tcPr>
          <w:p w:rsidR="001429F2" w:rsidRPr="00C70921" w:rsidRDefault="001429F2" w:rsidP="00494E54">
            <w:pPr>
              <w:spacing w:before="0" w:after="0" w:line="240" w:lineRule="auto"/>
              <w:jc w:val="center"/>
              <w:rPr>
                <w:rFonts w:cs="Arial"/>
                <w:sz w:val="20"/>
              </w:rPr>
            </w:pPr>
            <w:r>
              <w:rPr>
                <w:rFonts w:cs="Arial"/>
                <w:sz w:val="20"/>
              </w:rPr>
              <w:t xml:space="preserve"> 1 521</w:t>
            </w:r>
          </w:p>
        </w:tc>
        <w:tc>
          <w:tcPr>
            <w:tcW w:w="1247" w:type="dxa"/>
            <w:shd w:val="clear" w:color="auto" w:fill="auto"/>
            <w:vAlign w:val="center"/>
          </w:tcPr>
          <w:p w:rsidR="001429F2" w:rsidRPr="00C70921" w:rsidRDefault="001429F2" w:rsidP="00494E54">
            <w:pPr>
              <w:spacing w:before="0" w:after="0" w:line="240" w:lineRule="auto"/>
              <w:jc w:val="center"/>
              <w:rPr>
                <w:rFonts w:cs="Arial"/>
                <w:sz w:val="20"/>
              </w:rPr>
            </w:pPr>
            <w:r>
              <w:rPr>
                <w:rFonts w:cs="Arial"/>
                <w:sz w:val="20"/>
              </w:rPr>
              <w:t>84,40</w:t>
            </w:r>
          </w:p>
        </w:tc>
      </w:tr>
    </w:tbl>
    <w:p w:rsidR="00343EE3" w:rsidRDefault="00343EE3" w:rsidP="00343EE3">
      <w:pPr>
        <w:spacing w:before="0" w:after="120"/>
        <w:rPr>
          <w:sz w:val="16"/>
          <w:szCs w:val="16"/>
        </w:rPr>
      </w:pPr>
      <w:r w:rsidRPr="00DA6B2E">
        <w:rPr>
          <w:sz w:val="16"/>
          <w:szCs w:val="16"/>
        </w:rPr>
        <w:t xml:space="preserve">Zdroj: </w:t>
      </w:r>
      <w:r w:rsidR="00A2511A">
        <w:rPr>
          <w:sz w:val="16"/>
          <w:szCs w:val="16"/>
        </w:rPr>
        <w:t>M</w:t>
      </w:r>
      <w:r w:rsidR="00977220">
        <w:rPr>
          <w:sz w:val="16"/>
          <w:szCs w:val="16"/>
        </w:rPr>
        <w:t>ě</w:t>
      </w:r>
      <w:r w:rsidR="00A2511A">
        <w:rPr>
          <w:sz w:val="16"/>
          <w:szCs w:val="16"/>
        </w:rPr>
        <w:t>Ú Ostrov</w:t>
      </w:r>
    </w:p>
    <w:p w:rsidR="00D70FC9" w:rsidRDefault="00D70FC9" w:rsidP="00343EE3">
      <w:pPr>
        <w:spacing w:before="0" w:after="120"/>
        <w:rPr>
          <w:sz w:val="16"/>
          <w:szCs w:val="16"/>
        </w:rPr>
      </w:pPr>
    </w:p>
    <w:p w:rsidR="00001931" w:rsidRPr="00FB73DB" w:rsidRDefault="00001931" w:rsidP="00001931">
      <w:pPr>
        <w:pStyle w:val="Nadpis4"/>
        <w:pBdr>
          <w:top w:val="none" w:sz="0" w:space="0" w:color="auto"/>
          <w:left w:val="none" w:sz="0" w:space="0" w:color="auto"/>
        </w:pBdr>
        <w:shd w:val="clear" w:color="auto" w:fill="372C74"/>
        <w:spacing w:before="0" w:after="200"/>
        <w:ind w:firstLine="0"/>
        <w:rPr>
          <w:color w:val="auto"/>
          <w:spacing w:val="4"/>
          <w:szCs w:val="24"/>
        </w:rPr>
      </w:pPr>
      <w:bookmarkStart w:id="94" w:name="_Toc516058323"/>
      <w:r w:rsidRPr="00FB73DB">
        <w:rPr>
          <w:color w:val="auto"/>
          <w:spacing w:val="4"/>
          <w:szCs w:val="24"/>
        </w:rPr>
        <w:lastRenderedPageBreak/>
        <w:t>III. Zdravotnictví</w:t>
      </w:r>
      <w:bookmarkEnd w:id="94"/>
      <w:r w:rsidRPr="00FB73DB">
        <w:rPr>
          <w:color w:val="auto"/>
          <w:spacing w:val="4"/>
          <w:szCs w:val="24"/>
        </w:rPr>
        <w:t xml:space="preserve"> </w:t>
      </w:r>
    </w:p>
    <w:p w:rsidR="00930DAD" w:rsidRPr="00C91BC3" w:rsidRDefault="00C91BC3" w:rsidP="00C91BC3">
      <w:pPr>
        <w:pStyle w:val="Nadpis5"/>
        <w:rPr>
          <w:rFonts w:asciiTheme="majorHAnsi" w:hAnsiTheme="majorHAnsi"/>
          <w:b/>
          <w:sz w:val="20"/>
          <w:szCs w:val="20"/>
        </w:rPr>
      </w:pPr>
      <w:r>
        <w:rPr>
          <w:rFonts w:asciiTheme="majorHAnsi" w:hAnsiTheme="majorHAnsi"/>
          <w:b/>
          <w:sz w:val="20"/>
          <w:szCs w:val="20"/>
        </w:rPr>
        <w:t>Zdravotnictví</w:t>
      </w:r>
    </w:p>
    <w:p w:rsidR="00977220" w:rsidRDefault="00977220" w:rsidP="00170D74">
      <w:pPr>
        <w:spacing w:after="120"/>
        <w:rPr>
          <w:rFonts w:asciiTheme="minorHAnsi" w:hAnsiTheme="minorHAnsi"/>
          <w:b/>
        </w:rPr>
      </w:pPr>
      <w:r>
        <w:rPr>
          <w:rFonts w:asciiTheme="minorHAnsi" w:hAnsiTheme="minorHAnsi"/>
          <w:b/>
        </w:rPr>
        <w:t>Lékařská péče</w:t>
      </w:r>
    </w:p>
    <w:p w:rsidR="00977220" w:rsidRDefault="00977220" w:rsidP="00170D74">
      <w:pPr>
        <w:spacing w:before="120"/>
        <w:rPr>
          <w:rFonts w:asciiTheme="minorHAnsi" w:hAnsiTheme="minorHAnsi"/>
          <w:bCs/>
          <w:iCs/>
        </w:rPr>
      </w:pPr>
      <w:r>
        <w:rPr>
          <w:rFonts w:asciiTheme="minorHAnsi" w:hAnsiTheme="minorHAnsi"/>
        </w:rPr>
        <w:t xml:space="preserve">Lékařskou péči v regionu poskytuje Nemocnice Karlovy Vary a </w:t>
      </w:r>
      <w:r w:rsidRPr="00607680">
        <w:rPr>
          <w:rFonts w:asciiTheme="minorHAnsi" w:hAnsiTheme="minorHAnsi"/>
          <w:b/>
          <w:bCs/>
          <w:i/>
          <w:iCs/>
        </w:rPr>
        <w:t>NEMOS PLUS s.r.o.,</w:t>
      </w:r>
      <w:r w:rsidRPr="00607680">
        <w:rPr>
          <w:rFonts w:asciiTheme="minorHAnsi" w:hAnsiTheme="minorHAnsi"/>
          <w:i/>
          <w:iCs/>
        </w:rPr>
        <w:t xml:space="preserve"> </w:t>
      </w:r>
      <w:r w:rsidRPr="00607680">
        <w:rPr>
          <w:rFonts w:asciiTheme="minorHAnsi" w:hAnsiTheme="minorHAnsi"/>
          <w:b/>
          <w:bCs/>
          <w:i/>
          <w:iCs/>
        </w:rPr>
        <w:t>nemocnice</w:t>
      </w:r>
      <w:r w:rsidRPr="00607680">
        <w:rPr>
          <w:rFonts w:asciiTheme="minorHAnsi" w:hAnsiTheme="minorHAnsi"/>
          <w:i/>
          <w:iCs/>
        </w:rPr>
        <w:t xml:space="preserve"> </w:t>
      </w:r>
      <w:r w:rsidRPr="00607680">
        <w:rPr>
          <w:rFonts w:asciiTheme="minorHAnsi" w:hAnsiTheme="minorHAnsi"/>
          <w:b/>
          <w:bCs/>
          <w:i/>
          <w:iCs/>
        </w:rPr>
        <w:t>Ostrov</w:t>
      </w:r>
      <w:r>
        <w:rPr>
          <w:rFonts w:asciiTheme="minorHAnsi" w:hAnsiTheme="minorHAnsi"/>
          <w:b/>
          <w:bCs/>
          <w:i/>
          <w:iCs/>
        </w:rPr>
        <w:t>.</w:t>
      </w:r>
      <w:r>
        <w:rPr>
          <w:rFonts w:asciiTheme="minorHAnsi" w:hAnsiTheme="minorHAnsi"/>
          <w:bCs/>
          <w:iCs/>
        </w:rPr>
        <w:t xml:space="preserve"> Nemocnice zajišťuje služby praktických lékařů a vybrané zdravotnické obory (následnou intenzivní péči, interní oddělení, chirurgie, ortopedie, urologie atd.)</w:t>
      </w:r>
    </w:p>
    <w:p w:rsidR="00977220" w:rsidRPr="00F821DB" w:rsidRDefault="00977220" w:rsidP="00977220">
      <w:pPr>
        <w:rPr>
          <w:rFonts w:asciiTheme="minorHAnsi" w:hAnsiTheme="minorHAnsi"/>
          <w:bCs/>
          <w:iCs/>
        </w:rPr>
      </w:pPr>
      <w:r>
        <w:rPr>
          <w:rFonts w:asciiTheme="minorHAnsi" w:hAnsiTheme="minorHAnsi"/>
          <w:bCs/>
          <w:iCs/>
        </w:rPr>
        <w:t xml:space="preserve">Vybrané zdravotní služby pro obyvatele města a péči praktických lékařů dále zajišťuje </w:t>
      </w:r>
      <w:r w:rsidRPr="00F821DB">
        <w:rPr>
          <w:rFonts w:asciiTheme="minorHAnsi" w:hAnsiTheme="minorHAnsi"/>
          <w:b/>
          <w:bCs/>
          <w:i/>
          <w:iCs/>
        </w:rPr>
        <w:t>Poliklinika Ostrov</w:t>
      </w:r>
      <w:r>
        <w:rPr>
          <w:rFonts w:asciiTheme="minorHAnsi" w:hAnsiTheme="minorHAnsi"/>
          <w:bCs/>
          <w:iCs/>
        </w:rPr>
        <w:t>.</w:t>
      </w:r>
    </w:p>
    <w:p w:rsidR="00977220" w:rsidRPr="0016119E" w:rsidRDefault="00977220" w:rsidP="00977220">
      <w:pPr>
        <w:rPr>
          <w:rFonts w:asciiTheme="minorHAnsi" w:hAnsiTheme="minorHAnsi"/>
        </w:rPr>
      </w:pPr>
      <w:r>
        <w:rPr>
          <w:rFonts w:asciiTheme="minorHAnsi" w:hAnsiTheme="minorHAnsi"/>
          <w:bCs/>
          <w:iCs/>
        </w:rPr>
        <w:t>Specializované a náročné zdravotnické služby jsou zajišťovány nemocnicí v Karlových Varech.</w:t>
      </w:r>
    </w:p>
    <w:p w:rsidR="00977220" w:rsidRPr="00607680" w:rsidRDefault="00977220" w:rsidP="00170D74">
      <w:pPr>
        <w:spacing w:after="120"/>
        <w:rPr>
          <w:rFonts w:asciiTheme="minorHAnsi" w:hAnsiTheme="minorHAnsi"/>
          <w:b/>
        </w:rPr>
      </w:pPr>
      <w:r w:rsidRPr="00607680">
        <w:rPr>
          <w:rFonts w:asciiTheme="minorHAnsi" w:hAnsiTheme="minorHAnsi"/>
          <w:b/>
        </w:rPr>
        <w:t>Lékařská a lékárenská pohotovostní služba</w:t>
      </w:r>
    </w:p>
    <w:p w:rsidR="00977220" w:rsidRPr="00607680" w:rsidRDefault="00977220" w:rsidP="00170D74">
      <w:pPr>
        <w:spacing w:before="120"/>
        <w:rPr>
          <w:rFonts w:asciiTheme="minorHAnsi" w:hAnsiTheme="minorHAnsi"/>
          <w:b/>
          <w:bCs/>
          <w:i/>
          <w:iCs/>
        </w:rPr>
      </w:pPr>
      <w:r w:rsidRPr="00607680">
        <w:rPr>
          <w:rFonts w:asciiTheme="minorHAnsi" w:hAnsiTheme="minorHAnsi"/>
        </w:rPr>
        <w:t xml:space="preserve">Převážná část pohotovostní služby je zajišťována Nemocnicí Karlovy Vary. Výhradně v Karlových Varech je pohotovostní služba pro děti a stomatologie. Lékařskou pohotovostní službu pro dospělé poskytuje přímo </w:t>
      </w:r>
      <w:r>
        <w:rPr>
          <w:rFonts w:asciiTheme="minorHAnsi" w:hAnsiTheme="minorHAnsi"/>
        </w:rPr>
        <w:t xml:space="preserve">nemocnice </w:t>
      </w:r>
      <w:r w:rsidRPr="00607680">
        <w:rPr>
          <w:rFonts w:asciiTheme="minorHAnsi" w:hAnsiTheme="minorHAnsi"/>
        </w:rPr>
        <w:t>ve městě</w:t>
      </w:r>
      <w:r w:rsidRPr="00607680">
        <w:rPr>
          <w:rFonts w:asciiTheme="minorHAnsi" w:hAnsiTheme="minorHAnsi"/>
          <w:b/>
          <w:bCs/>
          <w:i/>
          <w:iCs/>
        </w:rPr>
        <w:t>.</w:t>
      </w:r>
    </w:p>
    <w:p w:rsidR="00170D74" w:rsidRPr="008B1F18" w:rsidRDefault="00170D74">
      <w:pPr>
        <w:spacing w:before="0" w:after="0" w:line="240" w:lineRule="auto"/>
        <w:jc w:val="left"/>
        <w:rPr>
          <w:sz w:val="16"/>
          <w:szCs w:val="16"/>
        </w:rPr>
      </w:pPr>
    </w:p>
    <w:p w:rsidR="00001931" w:rsidRPr="00FB73DB" w:rsidRDefault="00001931" w:rsidP="00001931">
      <w:pPr>
        <w:pStyle w:val="Nadpis4"/>
        <w:pBdr>
          <w:top w:val="none" w:sz="0" w:space="0" w:color="auto"/>
          <w:left w:val="none" w:sz="0" w:space="0" w:color="auto"/>
        </w:pBdr>
        <w:shd w:val="clear" w:color="auto" w:fill="372C74"/>
        <w:spacing w:before="0" w:after="200"/>
        <w:ind w:firstLine="0"/>
        <w:rPr>
          <w:color w:val="auto"/>
          <w:spacing w:val="4"/>
          <w:szCs w:val="24"/>
        </w:rPr>
      </w:pPr>
      <w:bookmarkStart w:id="95" w:name="_Toc516058324"/>
      <w:r w:rsidRPr="00FB73DB">
        <w:rPr>
          <w:color w:val="auto"/>
          <w:spacing w:val="4"/>
          <w:szCs w:val="24"/>
        </w:rPr>
        <w:t>I</w:t>
      </w:r>
      <w:r w:rsidR="009E47EB" w:rsidRPr="00FB73DB">
        <w:rPr>
          <w:color w:val="auto"/>
          <w:spacing w:val="4"/>
          <w:szCs w:val="24"/>
        </w:rPr>
        <w:t>V</w:t>
      </w:r>
      <w:r w:rsidRPr="00FB73DB">
        <w:rPr>
          <w:color w:val="auto"/>
          <w:spacing w:val="4"/>
          <w:szCs w:val="24"/>
        </w:rPr>
        <w:t xml:space="preserve">. </w:t>
      </w:r>
      <w:r w:rsidR="009E47EB" w:rsidRPr="00FB73DB">
        <w:rPr>
          <w:color w:val="auto"/>
          <w:spacing w:val="4"/>
          <w:szCs w:val="24"/>
        </w:rPr>
        <w:t>Sociální péče</w:t>
      </w:r>
      <w:bookmarkEnd w:id="95"/>
      <w:r w:rsidRPr="00FB73DB">
        <w:rPr>
          <w:color w:val="auto"/>
          <w:spacing w:val="4"/>
          <w:szCs w:val="24"/>
        </w:rPr>
        <w:t xml:space="preserve"> </w:t>
      </w:r>
    </w:p>
    <w:p w:rsidR="00977220" w:rsidRDefault="00977220" w:rsidP="00977220">
      <w:pPr>
        <w:spacing w:before="0"/>
        <w:rPr>
          <w:rFonts w:asciiTheme="majorHAnsi" w:hAnsiTheme="majorHAnsi"/>
        </w:rPr>
      </w:pPr>
      <w:r>
        <w:rPr>
          <w:rFonts w:asciiTheme="majorHAnsi" w:hAnsiTheme="majorHAnsi"/>
        </w:rPr>
        <w:t>Ve městě Ostrov funguje poměrně rozvinutý systém sociálních služeb zajišťovaný neziskovými organizacemi. Dobře fungují pobytové služby i pečovatelské služby. Nedostatkem je malý počet sociálních pracovníků, zejména pro terénní služby.</w:t>
      </w:r>
    </w:p>
    <w:p w:rsidR="00977220" w:rsidRPr="004B109C" w:rsidRDefault="00977220" w:rsidP="00977220">
      <w:pPr>
        <w:spacing w:before="0" w:after="120"/>
        <w:rPr>
          <w:rFonts w:cs="Arial-ItalicMT"/>
          <w:iCs/>
          <w:sz w:val="18"/>
          <w:szCs w:val="18"/>
        </w:rPr>
      </w:pPr>
      <w:bookmarkStart w:id="96" w:name="_Toc516059035"/>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26</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Pr>
          <w:rFonts w:cs="Arial-ItalicMT"/>
          <w:iCs/>
          <w:sz w:val="18"/>
          <w:szCs w:val="18"/>
        </w:rPr>
        <w:t>Poskytovatelé sociálních služeb</w:t>
      </w:r>
      <w:bookmarkEnd w:id="96"/>
    </w:p>
    <w:tbl>
      <w:tblPr>
        <w:tblStyle w:val="Mkatabulky"/>
        <w:tblW w:w="0" w:type="auto"/>
        <w:tblLook w:val="04A0" w:firstRow="1" w:lastRow="0" w:firstColumn="1" w:lastColumn="0" w:noHBand="0" w:noVBand="1"/>
      </w:tblPr>
      <w:tblGrid>
        <w:gridCol w:w="3936"/>
        <w:gridCol w:w="5516"/>
      </w:tblGrid>
      <w:tr w:rsidR="00977220" w:rsidRPr="00DF537D" w:rsidTr="00170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tcPr>
          <w:p w:rsidR="00977220" w:rsidRPr="00DF537D" w:rsidRDefault="00977220" w:rsidP="00494E54">
            <w:pPr>
              <w:spacing w:before="120" w:after="120"/>
              <w:jc w:val="center"/>
              <w:rPr>
                <w:rFonts w:asciiTheme="minorHAnsi" w:hAnsiTheme="minorHAnsi"/>
                <w:b/>
              </w:rPr>
            </w:pPr>
            <w:r>
              <w:rPr>
                <w:rFonts w:asciiTheme="minorHAnsi" w:hAnsiTheme="minorHAnsi"/>
                <w:b/>
              </w:rPr>
              <w:t>Poskytovatel sociální služby</w:t>
            </w:r>
          </w:p>
        </w:tc>
        <w:tc>
          <w:tcPr>
            <w:tcW w:w="5516" w:type="dxa"/>
          </w:tcPr>
          <w:p w:rsidR="00977220" w:rsidRPr="00DF537D" w:rsidRDefault="00977220" w:rsidP="00494E54">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rPr>
            </w:pPr>
            <w:r>
              <w:rPr>
                <w:rFonts w:asciiTheme="minorHAnsi" w:hAnsiTheme="minorHAnsi"/>
                <w:b/>
              </w:rPr>
              <w:t>Charakter poskytovaných služeb</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ArialMT"/>
                <w:spacing w:val="0"/>
                <w:sz w:val="18"/>
                <w:szCs w:val="18"/>
                <w:lang w:bidi="ar-SA"/>
              </w:rPr>
            </w:pPr>
            <w:r w:rsidRPr="008B1F18">
              <w:rPr>
                <w:rFonts w:asciiTheme="minorHAnsi" w:hAnsiTheme="minorHAnsi" w:cs="Calibri,Bold"/>
                <w:b/>
                <w:bCs/>
                <w:spacing w:val="0"/>
                <w:sz w:val="18"/>
                <w:szCs w:val="18"/>
                <w:lang w:bidi="ar-SA"/>
              </w:rPr>
              <w:t>TyfloCentrum Karlovy Vary, o.p.s.</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Průvodcovské a předčitatelské služby</w:t>
            </w:r>
          </w:p>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Sociálně aktivizační služba pro seniory a zdravotně postižené</w:t>
            </w:r>
          </w:p>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18"/>
                <w:szCs w:val="18"/>
                <w:lang w:bidi="ar-SA"/>
              </w:rPr>
            </w:pPr>
            <w:r w:rsidRPr="008B1F18">
              <w:rPr>
                <w:rFonts w:asciiTheme="minorHAnsi" w:hAnsiTheme="minorHAnsi" w:cs="Calibri,Bold"/>
                <w:bCs/>
                <w:spacing w:val="0"/>
                <w:sz w:val="18"/>
                <w:szCs w:val="18"/>
                <w:lang w:bidi="ar-SA"/>
              </w:rPr>
              <w:t>Sociální rehabilitace</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ArialMT"/>
                <w:spacing w:val="0"/>
                <w:sz w:val="18"/>
                <w:szCs w:val="18"/>
                <w:lang w:bidi="ar-SA"/>
              </w:rPr>
            </w:pPr>
            <w:r w:rsidRPr="008B1F18">
              <w:rPr>
                <w:rFonts w:asciiTheme="minorHAnsi" w:hAnsiTheme="minorHAnsi" w:cs="Calibri,Bold"/>
                <w:b/>
                <w:bCs/>
                <w:spacing w:val="0"/>
                <w:sz w:val="18"/>
                <w:szCs w:val="18"/>
                <w:lang w:bidi="ar-SA"/>
              </w:rPr>
              <w:t>Světlo Kadaň z.s.</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Terénní programy (návykové látky)</w:t>
            </w:r>
          </w:p>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Terénní programy (vyloučené lokality)</w:t>
            </w:r>
          </w:p>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18"/>
                <w:szCs w:val="18"/>
                <w:lang w:bidi="ar-SA"/>
              </w:rPr>
            </w:pPr>
            <w:r w:rsidRPr="008B1F18">
              <w:rPr>
                <w:rFonts w:asciiTheme="minorHAnsi" w:hAnsiTheme="minorHAnsi" w:cs="Calibri,Bold"/>
                <w:bCs/>
                <w:spacing w:val="0"/>
                <w:sz w:val="18"/>
                <w:szCs w:val="18"/>
                <w:lang w:bidi="ar-SA"/>
              </w:rPr>
              <w:t>Nízkoprahové zařízení pro děti a mládež</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Calibri,Bold"/>
                <w:b/>
                <w:bCs/>
                <w:spacing w:val="0"/>
                <w:sz w:val="18"/>
                <w:szCs w:val="18"/>
                <w:lang w:bidi="ar-SA"/>
              </w:rPr>
            </w:pPr>
            <w:r w:rsidRPr="008B1F18">
              <w:rPr>
                <w:rFonts w:asciiTheme="minorHAnsi" w:hAnsiTheme="minorHAnsi" w:cs="Calibri,Bold"/>
                <w:b/>
                <w:bCs/>
                <w:spacing w:val="0"/>
                <w:sz w:val="18"/>
                <w:szCs w:val="18"/>
                <w:lang w:bidi="ar-SA"/>
              </w:rPr>
              <w:t>Res vitae, z.s.</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Pečovatelská služba</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Calibri,Bold"/>
                <w:b/>
                <w:bCs/>
                <w:spacing w:val="0"/>
                <w:sz w:val="18"/>
                <w:szCs w:val="18"/>
                <w:lang w:bidi="ar-SA"/>
              </w:rPr>
            </w:pPr>
            <w:r w:rsidRPr="008B1F18">
              <w:rPr>
                <w:rFonts w:asciiTheme="minorHAnsi" w:hAnsiTheme="minorHAnsi" w:cs="Calibri,Bold"/>
                <w:b/>
                <w:bCs/>
                <w:spacing w:val="0"/>
                <w:sz w:val="18"/>
                <w:szCs w:val="18"/>
                <w:lang w:bidi="ar-SA"/>
              </w:rPr>
              <w:t>Rodinné centrum Ostrůvek, z.s.</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Rodinné centrum</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Calibri,Bold"/>
                <w:b/>
                <w:bCs/>
                <w:spacing w:val="0"/>
                <w:sz w:val="18"/>
                <w:szCs w:val="18"/>
                <w:lang w:bidi="ar-SA"/>
              </w:rPr>
            </w:pPr>
            <w:r w:rsidRPr="008B1F18">
              <w:rPr>
                <w:rFonts w:asciiTheme="minorHAnsi" w:hAnsiTheme="minorHAnsi" w:cs="Calibri,Bold"/>
                <w:b/>
                <w:bCs/>
                <w:spacing w:val="0"/>
                <w:sz w:val="18"/>
                <w:szCs w:val="18"/>
                <w:lang w:bidi="ar-SA"/>
              </w:rPr>
              <w:t>Raná péče Kuk, z.ú.</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Raná péče</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Calibri,Bold"/>
                <w:b/>
                <w:bCs/>
                <w:spacing w:val="0"/>
                <w:sz w:val="18"/>
                <w:szCs w:val="18"/>
                <w:lang w:bidi="ar-SA"/>
              </w:rPr>
            </w:pPr>
            <w:r w:rsidRPr="008B1F18">
              <w:rPr>
                <w:rFonts w:asciiTheme="minorHAnsi" w:hAnsiTheme="minorHAnsi" w:cs="Calibri,Bold"/>
                <w:b/>
                <w:bCs/>
                <w:spacing w:val="0"/>
                <w:sz w:val="18"/>
                <w:szCs w:val="18"/>
                <w:lang w:bidi="ar-SA"/>
              </w:rPr>
              <w:t>Oblastní charita Ostrov</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Domov pro seniory (Hroznětín a Ostrov)</w:t>
            </w:r>
          </w:p>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Denní stacionář</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Calibri,Bold"/>
                <w:b/>
                <w:bCs/>
                <w:spacing w:val="0"/>
                <w:sz w:val="18"/>
                <w:szCs w:val="18"/>
                <w:lang w:bidi="ar-SA"/>
              </w:rPr>
            </w:pPr>
            <w:r w:rsidRPr="008B1F18">
              <w:rPr>
                <w:rFonts w:asciiTheme="minorHAnsi" w:hAnsiTheme="minorHAnsi" w:cs="Calibri,Bold"/>
                <w:b/>
                <w:bCs/>
                <w:spacing w:val="0"/>
                <w:sz w:val="18"/>
                <w:szCs w:val="18"/>
                <w:lang w:bidi="ar-SA"/>
              </w:rPr>
              <w:t>Domov pro seniory Květinka    s. r. o.</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Domov pro seniory</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Calibri,Bold"/>
                <w:b/>
                <w:bCs/>
                <w:spacing w:val="0"/>
                <w:sz w:val="18"/>
                <w:szCs w:val="18"/>
                <w:lang w:bidi="ar-SA"/>
              </w:rPr>
            </w:pPr>
            <w:r w:rsidRPr="008B1F18">
              <w:rPr>
                <w:rFonts w:asciiTheme="minorHAnsi" w:hAnsiTheme="minorHAnsi" w:cs="Calibri,Bold"/>
                <w:b/>
                <w:bCs/>
                <w:spacing w:val="0"/>
                <w:sz w:val="18"/>
                <w:szCs w:val="18"/>
                <w:lang w:bidi="ar-SA"/>
              </w:rPr>
              <w:t>Člověk v tísni, o.p.s.</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Terénní programy</w:t>
            </w:r>
          </w:p>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Sociálně aktivizační služby pro rodiny s dětmi</w:t>
            </w:r>
          </w:p>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Dluhové poradenství</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8B1F18">
            <w:pPr>
              <w:autoSpaceDE w:val="0"/>
              <w:autoSpaceDN w:val="0"/>
              <w:adjustRightInd w:val="0"/>
              <w:spacing w:before="0" w:after="0" w:line="240" w:lineRule="auto"/>
              <w:jc w:val="left"/>
              <w:rPr>
                <w:rFonts w:asciiTheme="minorHAnsi" w:hAnsiTheme="minorHAnsi" w:cs="Calibri,Bold"/>
                <w:b/>
                <w:bCs/>
                <w:spacing w:val="0"/>
                <w:sz w:val="18"/>
                <w:szCs w:val="18"/>
                <w:lang w:bidi="ar-SA"/>
              </w:rPr>
            </w:pPr>
            <w:r w:rsidRPr="008B1F18">
              <w:rPr>
                <w:rFonts w:asciiTheme="minorHAnsi" w:hAnsiTheme="minorHAnsi" w:cs="Calibri,Bold"/>
                <w:b/>
                <w:bCs/>
                <w:spacing w:val="0"/>
                <w:sz w:val="18"/>
                <w:szCs w:val="18"/>
                <w:lang w:bidi="ar-SA"/>
              </w:rPr>
              <w:t>Centrum pro rodinu a dítě</w:t>
            </w:r>
            <w:r w:rsidR="008B1F18">
              <w:rPr>
                <w:rFonts w:asciiTheme="minorHAnsi" w:hAnsiTheme="minorHAnsi" w:cs="Calibri,Bold"/>
                <w:b/>
                <w:bCs/>
                <w:spacing w:val="0"/>
                <w:sz w:val="18"/>
                <w:szCs w:val="18"/>
                <w:lang w:bidi="ar-SA"/>
              </w:rPr>
              <w:t xml:space="preserve"> </w:t>
            </w:r>
            <w:r w:rsidRPr="008B1F18">
              <w:rPr>
                <w:rFonts w:asciiTheme="minorHAnsi" w:hAnsiTheme="minorHAnsi" w:cs="Calibri,Bold"/>
                <w:b/>
                <w:bCs/>
                <w:spacing w:val="0"/>
                <w:sz w:val="18"/>
                <w:szCs w:val="18"/>
                <w:lang w:bidi="ar-SA"/>
              </w:rPr>
              <w:t>Valika, z.s.</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Sociálně aktivizační služby pro rodiny s dětmi</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Calibri,Bold"/>
                <w:b/>
                <w:bCs/>
                <w:spacing w:val="0"/>
                <w:sz w:val="18"/>
                <w:szCs w:val="18"/>
                <w:lang w:bidi="ar-SA"/>
              </w:rPr>
            </w:pPr>
            <w:r w:rsidRPr="008B1F18">
              <w:rPr>
                <w:rFonts w:asciiTheme="minorHAnsi" w:hAnsiTheme="minorHAnsi" w:cs="Calibri,Bold"/>
                <w:b/>
                <w:bCs/>
                <w:spacing w:val="0"/>
                <w:sz w:val="18"/>
                <w:szCs w:val="18"/>
                <w:lang w:bidi="ar-SA"/>
              </w:rPr>
              <w:t>Náhradním rodinám, o.p.s.</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Práce s náhradními rodinami</w:t>
            </w:r>
          </w:p>
        </w:tc>
      </w:tr>
      <w:tr w:rsidR="00977220" w:rsidRPr="00170D74" w:rsidTr="00170D74">
        <w:tc>
          <w:tcPr>
            <w:cnfStyle w:val="001000000000" w:firstRow="0" w:lastRow="0" w:firstColumn="1" w:lastColumn="0" w:oddVBand="0" w:evenVBand="0" w:oddHBand="0" w:evenHBand="0" w:firstRowFirstColumn="0" w:firstRowLastColumn="0" w:lastRowFirstColumn="0" w:lastRowLastColumn="0"/>
            <w:tcW w:w="3936" w:type="dxa"/>
            <w:vAlign w:val="top"/>
          </w:tcPr>
          <w:p w:rsidR="00977220" w:rsidRPr="008B1F18" w:rsidRDefault="00977220" w:rsidP="00494E54">
            <w:pPr>
              <w:autoSpaceDE w:val="0"/>
              <w:autoSpaceDN w:val="0"/>
              <w:adjustRightInd w:val="0"/>
              <w:spacing w:before="0" w:after="0" w:line="240" w:lineRule="auto"/>
              <w:jc w:val="left"/>
              <w:rPr>
                <w:rFonts w:asciiTheme="minorHAnsi" w:hAnsiTheme="minorHAnsi" w:cs="ArialMT"/>
                <w:spacing w:val="0"/>
                <w:sz w:val="18"/>
                <w:szCs w:val="18"/>
                <w:lang w:bidi="ar-SA"/>
              </w:rPr>
            </w:pPr>
            <w:r w:rsidRPr="008B1F18">
              <w:rPr>
                <w:rFonts w:asciiTheme="minorHAnsi" w:hAnsiTheme="minorHAnsi" w:cs="Calibri,Bold"/>
                <w:b/>
                <w:bCs/>
                <w:spacing w:val="0"/>
                <w:sz w:val="18"/>
                <w:szCs w:val="18"/>
                <w:lang w:bidi="ar-SA"/>
              </w:rPr>
              <w:t>Centrum pro zdravotně postižené Karlovarského kraje, o.p.s.</w:t>
            </w:r>
          </w:p>
        </w:tc>
        <w:tc>
          <w:tcPr>
            <w:tcW w:w="5516" w:type="dxa"/>
            <w:vAlign w:val="top"/>
          </w:tcPr>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Calibri,Bold"/>
                <w:bCs/>
                <w:spacing w:val="0"/>
                <w:sz w:val="18"/>
                <w:szCs w:val="18"/>
                <w:lang w:bidi="ar-SA"/>
              </w:rPr>
            </w:pPr>
            <w:r w:rsidRPr="008B1F18">
              <w:rPr>
                <w:rFonts w:asciiTheme="minorHAnsi" w:hAnsiTheme="minorHAnsi" w:cs="Calibri,Bold"/>
                <w:bCs/>
                <w:spacing w:val="0"/>
                <w:sz w:val="18"/>
                <w:szCs w:val="18"/>
                <w:lang w:bidi="ar-SA"/>
              </w:rPr>
              <w:t>Odborné sociální poradenství</w:t>
            </w:r>
          </w:p>
          <w:p w:rsidR="00977220" w:rsidRPr="008B1F18" w:rsidRDefault="00977220" w:rsidP="00494E54">
            <w:pPr>
              <w:autoSpaceDE w:val="0"/>
              <w:autoSpaceDN w:val="0"/>
              <w:adjustRightInd w:val="0"/>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18"/>
                <w:szCs w:val="18"/>
                <w:lang w:bidi="ar-SA"/>
              </w:rPr>
            </w:pPr>
            <w:r w:rsidRPr="008B1F18">
              <w:rPr>
                <w:rFonts w:asciiTheme="minorHAnsi" w:hAnsiTheme="minorHAnsi" w:cs="Calibri,Bold"/>
                <w:bCs/>
                <w:spacing w:val="0"/>
                <w:sz w:val="18"/>
                <w:szCs w:val="18"/>
                <w:lang w:bidi="ar-SA"/>
              </w:rPr>
              <w:t>Osobní asistence</w:t>
            </w:r>
          </w:p>
        </w:tc>
      </w:tr>
    </w:tbl>
    <w:p w:rsidR="00977220" w:rsidRDefault="00977220" w:rsidP="00977220">
      <w:pPr>
        <w:spacing w:before="0" w:after="120"/>
        <w:rPr>
          <w:sz w:val="16"/>
          <w:szCs w:val="16"/>
        </w:rPr>
      </w:pPr>
      <w:r w:rsidRPr="00DA6B2E">
        <w:rPr>
          <w:sz w:val="16"/>
          <w:szCs w:val="16"/>
        </w:rPr>
        <w:t xml:space="preserve">Zdroj: </w:t>
      </w:r>
      <w:r>
        <w:rPr>
          <w:sz w:val="16"/>
          <w:szCs w:val="16"/>
        </w:rPr>
        <w:t>MěÚ Ostrov</w:t>
      </w:r>
    </w:p>
    <w:p w:rsidR="00001931" w:rsidRPr="00FB73DB" w:rsidRDefault="009E47EB" w:rsidP="00001931">
      <w:pPr>
        <w:pStyle w:val="Nadpis4"/>
        <w:pBdr>
          <w:top w:val="none" w:sz="0" w:space="0" w:color="auto"/>
          <w:left w:val="none" w:sz="0" w:space="0" w:color="auto"/>
        </w:pBdr>
        <w:shd w:val="clear" w:color="auto" w:fill="372C74"/>
        <w:spacing w:before="0" w:after="200"/>
        <w:ind w:firstLine="0"/>
        <w:rPr>
          <w:color w:val="auto"/>
          <w:spacing w:val="4"/>
          <w:szCs w:val="24"/>
        </w:rPr>
      </w:pPr>
      <w:bookmarkStart w:id="97" w:name="_Toc516058325"/>
      <w:r w:rsidRPr="00FB73DB">
        <w:rPr>
          <w:color w:val="auto"/>
          <w:spacing w:val="4"/>
          <w:szCs w:val="24"/>
        </w:rPr>
        <w:lastRenderedPageBreak/>
        <w:t>V</w:t>
      </w:r>
      <w:r w:rsidR="00001931" w:rsidRPr="00FB73DB">
        <w:rPr>
          <w:color w:val="auto"/>
          <w:spacing w:val="4"/>
          <w:szCs w:val="24"/>
        </w:rPr>
        <w:t xml:space="preserve">. </w:t>
      </w:r>
      <w:r w:rsidRPr="00FB73DB">
        <w:rPr>
          <w:color w:val="auto"/>
          <w:spacing w:val="4"/>
          <w:szCs w:val="24"/>
        </w:rPr>
        <w:t>Kultura</w:t>
      </w:r>
      <w:bookmarkEnd w:id="97"/>
      <w:r w:rsidR="00001931" w:rsidRPr="00FB73DB">
        <w:rPr>
          <w:color w:val="auto"/>
          <w:spacing w:val="4"/>
          <w:szCs w:val="24"/>
        </w:rPr>
        <w:t xml:space="preserve"> </w:t>
      </w:r>
    </w:p>
    <w:p w:rsidR="00977220" w:rsidRPr="006D141C" w:rsidRDefault="00977220" w:rsidP="00977220">
      <w:r w:rsidRPr="006D141C">
        <w:t>V Ostrově působí tato kulturní zařízení:</w:t>
      </w:r>
    </w:p>
    <w:p w:rsidR="00977220" w:rsidRPr="006D141C" w:rsidRDefault="00977220" w:rsidP="00977220">
      <w:pPr>
        <w:ind w:firstLine="708"/>
        <w:contextualSpacing/>
      </w:pPr>
      <w:r w:rsidRPr="006D141C">
        <w:t>- Dům kultury</w:t>
      </w:r>
    </w:p>
    <w:p w:rsidR="00977220" w:rsidRPr="006D141C" w:rsidRDefault="00977220" w:rsidP="00977220">
      <w:pPr>
        <w:ind w:firstLine="708"/>
        <w:contextualSpacing/>
      </w:pPr>
      <w:r w:rsidRPr="006D141C">
        <w:t>- Městská knihovna</w:t>
      </w:r>
    </w:p>
    <w:p w:rsidR="00977220" w:rsidRPr="006D141C" w:rsidRDefault="00977220" w:rsidP="00977220">
      <w:pPr>
        <w:ind w:firstLine="708"/>
      </w:pPr>
      <w:r w:rsidRPr="006D141C">
        <w:t>- Galerie umění</w:t>
      </w:r>
    </w:p>
    <w:p w:rsidR="00977220" w:rsidRPr="006D141C" w:rsidRDefault="00977220" w:rsidP="00977220">
      <w:pPr>
        <w:contextualSpacing/>
      </w:pPr>
      <w:r w:rsidRPr="006D141C">
        <w:t>Dům kultury a Městská knihovna jsou zařízením Města Ostrov.</w:t>
      </w:r>
    </w:p>
    <w:p w:rsidR="00977220" w:rsidRPr="006D141C" w:rsidRDefault="00977220" w:rsidP="00977220">
      <w:r w:rsidRPr="006D141C">
        <w:t>Dům kultury zajišťuje, kromě kulturních akcí místního významu i projekty nadregionálního významu,</w:t>
      </w:r>
      <w:r>
        <w:t xml:space="preserve"> </w:t>
      </w:r>
      <w:r w:rsidRPr="006D141C">
        <w:t>které se zde staly tradicí a pomáhají k propagaci města:</w:t>
      </w:r>
    </w:p>
    <w:p w:rsidR="00977220" w:rsidRDefault="00977220" w:rsidP="00977220">
      <w:r w:rsidRPr="006D141C">
        <w:t>Městská knihovna zajišťuje své služby v odděleních pro dospělé, pro mládež, hudební oddělení,</w:t>
      </w:r>
      <w:r>
        <w:t xml:space="preserve"> </w:t>
      </w:r>
      <w:r w:rsidRPr="006D141C">
        <w:t>k dispozici je studovna - čítárna, organizována je univerzita třetího věku a v rámci této organizace</w:t>
      </w:r>
      <w:r>
        <w:t xml:space="preserve"> </w:t>
      </w:r>
      <w:r w:rsidRPr="006D141C">
        <w:t xml:space="preserve">působí kronika města. V roce 2011 se městská knihovna přestěhovala do </w:t>
      </w:r>
      <w:r w:rsidRPr="00DF537D">
        <w:t>nových prostor – do zrekonstruovaného Paláce princů.</w:t>
      </w:r>
    </w:p>
    <w:p w:rsidR="00977220" w:rsidRDefault="00977220" w:rsidP="00977220">
      <w:r w:rsidRPr="00977220">
        <w:t>Galerie umění – Letohrádek Ostrov je pobočkou krajského zařízení Galerie umění Karlovy Vary. Sídlí v chráněném památkovém objektu, který je v majetku Karlovarského kraje.</w:t>
      </w:r>
    </w:p>
    <w:p w:rsidR="00DB664C" w:rsidRPr="00DF537D" w:rsidRDefault="00DB664C" w:rsidP="00977220"/>
    <w:p w:rsidR="004E0C5B" w:rsidRDefault="004E0C5B" w:rsidP="004E0C5B">
      <w:pPr>
        <w:pStyle w:val="Nadpis5"/>
        <w:rPr>
          <w:rFonts w:asciiTheme="majorHAnsi" w:hAnsiTheme="majorHAnsi"/>
        </w:rPr>
      </w:pPr>
      <w:r w:rsidRPr="00826500">
        <w:rPr>
          <w:rFonts w:asciiTheme="majorHAnsi" w:hAnsiTheme="majorHAnsi"/>
        </w:rPr>
        <w:t>Kultura a historie</w:t>
      </w:r>
    </w:p>
    <w:p w:rsidR="00977220" w:rsidRPr="00486359" w:rsidRDefault="00977220" w:rsidP="00977220">
      <w:r w:rsidRPr="00486359">
        <w:rPr>
          <w:b/>
        </w:rPr>
        <w:t>Městská památková zóna</w:t>
      </w:r>
      <w:r w:rsidRPr="00486359">
        <w:t xml:space="preserve"> </w:t>
      </w:r>
      <w:r>
        <w:t>je</w:t>
      </w:r>
      <w:r w:rsidRPr="00486359">
        <w:t xml:space="preserve"> původní historické město, zámek se zámeckou zahradou, hřbitov, areál</w:t>
      </w:r>
      <w:r>
        <w:t xml:space="preserve"> </w:t>
      </w:r>
      <w:r w:rsidRPr="00486359">
        <w:t>bývalého kláštera piaristů.</w:t>
      </w:r>
    </w:p>
    <w:p w:rsidR="00977220" w:rsidRPr="00486359" w:rsidRDefault="00977220" w:rsidP="00977220">
      <w:r w:rsidRPr="00486359">
        <w:t>V roce 2010 byl zpracován a v ZM schválen Program regenerace Městské památkové zóny Ostrov na</w:t>
      </w:r>
      <w:r>
        <w:t xml:space="preserve"> </w:t>
      </w:r>
      <w:r w:rsidRPr="00486359">
        <w:t>období let 2010 – 2020.</w:t>
      </w:r>
    </w:p>
    <w:p w:rsidR="00977220" w:rsidRDefault="00977220" w:rsidP="00977220">
      <w:r w:rsidRPr="00486359">
        <w:t>V období let 1998 - 2014 prošly zásadní rekonstrukcí všechny významné památkové objekty v majetku města na území města: zámecký park, Stará radnice, klášterní areál, Palác princů, ostrovský zámek, kostel sv.</w:t>
      </w:r>
      <w:r w:rsidR="00DB664C">
        <w:t xml:space="preserve"> </w:t>
      </w:r>
      <w:r w:rsidRPr="00486359">
        <w:t xml:space="preserve">Jakuba. </w:t>
      </w:r>
    </w:p>
    <w:p w:rsidR="00DB664C" w:rsidRPr="00C91BC3" w:rsidRDefault="00DB664C" w:rsidP="00DB664C">
      <w:r w:rsidRPr="00026BC1">
        <w:rPr>
          <w:b/>
        </w:rPr>
        <w:t>Národní kulturní památka</w:t>
      </w:r>
      <w:r w:rsidRPr="00026BC1">
        <w:t xml:space="preserve"> se na území města nachází ve Vykmanově a to tzv. Rudá věž smrti. Tento</w:t>
      </w:r>
      <w:r>
        <w:t xml:space="preserve"> </w:t>
      </w:r>
      <w:r w:rsidRPr="00026BC1">
        <w:t>objekt, spolu s dalšími objekty a areály, je součástí indikativního seznamu památek Montanregion</w:t>
      </w:r>
      <w:r>
        <w:t xml:space="preserve"> </w:t>
      </w:r>
      <w:r w:rsidRPr="00026BC1">
        <w:t>Erzgebirge - Hornické krajiny Krušnohoří pro zápis na Seznam světového kulturního dědictví</w:t>
      </w:r>
      <w:r>
        <w:t xml:space="preserve"> </w:t>
      </w:r>
      <w:r w:rsidRPr="00026BC1">
        <w:t>UNESCO.</w:t>
      </w:r>
    </w:p>
    <w:p w:rsidR="00DB664C" w:rsidRDefault="00DB664C" w:rsidP="00977220"/>
    <w:p w:rsidR="00DB664C" w:rsidRDefault="00DB664C" w:rsidP="00977220"/>
    <w:p w:rsidR="00DB664C" w:rsidRDefault="00DB664C" w:rsidP="00977220"/>
    <w:p w:rsidR="00DB664C" w:rsidRPr="00486359" w:rsidRDefault="00DB664C" w:rsidP="00977220"/>
    <w:p w:rsidR="00977220" w:rsidRPr="00486359" w:rsidRDefault="00977220" w:rsidP="00977220">
      <w:pPr>
        <w:spacing w:before="0" w:after="120"/>
      </w:pPr>
      <w:r w:rsidRPr="004B109C">
        <w:rPr>
          <w:rFonts w:asciiTheme="minorHAnsi" w:hAnsiTheme="minorHAnsi" w:cs="Arial-ItalicMT"/>
          <w:b/>
          <w:bCs/>
          <w:iCs/>
          <w:color w:val="372C74"/>
          <w:spacing w:val="10"/>
          <w:sz w:val="18"/>
          <w:szCs w:val="22"/>
        </w:rPr>
        <w:lastRenderedPageBreak/>
        <w:t xml:space="preserve"> </w:t>
      </w:r>
      <w:bookmarkStart w:id="98" w:name="_Toc516059036"/>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27</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Pr>
          <w:rFonts w:cs="Arial-ItalicMT"/>
          <w:iCs/>
          <w:sz w:val="18"/>
          <w:szCs w:val="18"/>
        </w:rPr>
        <w:t>Nemovité kulturní památky</w:t>
      </w:r>
      <w:bookmarkEnd w:id="98"/>
    </w:p>
    <w:tbl>
      <w:tblPr>
        <w:tblStyle w:val="Mkatabulky"/>
        <w:tblW w:w="0" w:type="auto"/>
        <w:tblLook w:val="04A0" w:firstRow="1" w:lastRow="0" w:firstColumn="1" w:lastColumn="0" w:noHBand="0" w:noVBand="1"/>
      </w:tblPr>
      <w:tblGrid>
        <w:gridCol w:w="5495"/>
        <w:gridCol w:w="3957"/>
      </w:tblGrid>
      <w:tr w:rsidR="00977220" w:rsidRPr="00DF537D" w:rsidTr="00494E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rsidR="00977220" w:rsidRPr="00DF537D" w:rsidRDefault="00977220" w:rsidP="00494E54">
            <w:pPr>
              <w:spacing w:before="120" w:after="120"/>
              <w:jc w:val="center"/>
              <w:rPr>
                <w:rFonts w:asciiTheme="minorHAnsi" w:hAnsiTheme="minorHAnsi"/>
                <w:b/>
              </w:rPr>
            </w:pPr>
            <w:r w:rsidRPr="00DF537D">
              <w:rPr>
                <w:rFonts w:asciiTheme="minorHAnsi" w:hAnsiTheme="minorHAnsi"/>
                <w:b/>
              </w:rPr>
              <w:t>Nemovité kulturní památky Ostrova</w:t>
            </w:r>
          </w:p>
        </w:tc>
        <w:tc>
          <w:tcPr>
            <w:tcW w:w="3957" w:type="dxa"/>
          </w:tcPr>
          <w:p w:rsidR="00977220" w:rsidRPr="00DF537D" w:rsidRDefault="00977220" w:rsidP="00494E54">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rPr>
            </w:pPr>
            <w:r w:rsidRPr="00DF537D">
              <w:rPr>
                <w:rFonts w:asciiTheme="minorHAnsi" w:hAnsiTheme="minorHAnsi"/>
                <w:b/>
              </w:rPr>
              <w:t>Vlastník</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Kostel sv. Michala</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Římskokatolická farnost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Kostel sv. Jakuba Většího</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Římskokatolická farnost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Smírčí kříž</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Římskokatolická farnost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Smírčí kříž</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Římskokatolická farnost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Ohradní zeď s branou</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Římskokatolická farnost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Zámek</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Karlovarský kraj</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Zámecký park</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z w:val="20"/>
              </w:rPr>
            </w:pPr>
            <w:r w:rsidRPr="008B1F18">
              <w:rPr>
                <w:rFonts w:asciiTheme="minorHAnsi" w:hAnsiTheme="minorHAnsi" w:cs="ArialMT"/>
                <w:spacing w:val="0"/>
                <w:sz w:val="20"/>
                <w:lang w:bidi="ar-SA"/>
              </w:rPr>
              <w:t>Kaple Sv. Jana Nepomuckého</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Bílý Dvůr</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Karlovarský kraj</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Letohrádek</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Galerie Karlovy Vary</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Dům čp. 9</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Soukromé vlastnictví</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Dům č.p. 18</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Dům č.p. 27</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Soukromé vlastnictví</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Dům č.p. 29</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Soukromé vlastnictví</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Stará radnice</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Dům č.p. 53</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Soukromé vlastnictví</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Dům č.p. 148</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Soukromé vlastnictví</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Dům č.p. 225</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Soukromé vlastnictví</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Mariánský sloup</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Kašna</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Kašna</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Obelisk se železným křížem</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Klášter</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Městské opevnění</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Socha Sv. Jana Nepomuckého</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Pivovar Weber</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Soukromé vlastnictví</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Dům kultury</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Zřícenina loveckého zámečku</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Lesy ČR s.p.</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7.MŠ</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Město Ostrov</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Kaplička ve Vykmanově</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PF ČR</w:t>
            </w:r>
          </w:p>
        </w:tc>
      </w:tr>
      <w:tr w:rsidR="00977220" w:rsidRPr="00DF537D" w:rsidTr="00494E54">
        <w:tc>
          <w:tcPr>
            <w:cnfStyle w:val="001000000000" w:firstRow="0" w:lastRow="0" w:firstColumn="1" w:lastColumn="0" w:oddVBand="0" w:evenVBand="0" w:oddHBand="0" w:evenHBand="0" w:firstRowFirstColumn="0" w:firstRowLastColumn="0" w:lastRowFirstColumn="0" w:lastRowLastColumn="0"/>
            <w:tcW w:w="5495" w:type="dxa"/>
            <w:vAlign w:val="top"/>
          </w:tcPr>
          <w:p w:rsidR="00977220" w:rsidRPr="008B1F18" w:rsidRDefault="00977220" w:rsidP="00494E54">
            <w:pPr>
              <w:autoSpaceDE w:val="0"/>
              <w:autoSpaceDN w:val="0"/>
              <w:adjustRightInd w:val="0"/>
              <w:spacing w:before="0" w:after="0" w:line="240" w:lineRule="auto"/>
              <w:rPr>
                <w:rFonts w:asciiTheme="minorHAnsi" w:hAnsiTheme="minorHAnsi" w:cs="ArialMT"/>
                <w:spacing w:val="0"/>
                <w:sz w:val="20"/>
                <w:lang w:bidi="ar-SA"/>
              </w:rPr>
            </w:pPr>
            <w:r w:rsidRPr="008B1F18">
              <w:rPr>
                <w:rFonts w:asciiTheme="minorHAnsi" w:hAnsiTheme="minorHAnsi" w:cs="ArialMT"/>
                <w:spacing w:val="0"/>
                <w:sz w:val="20"/>
                <w:lang w:bidi="ar-SA"/>
              </w:rPr>
              <w:t>Kaplička v Maroltově</w:t>
            </w:r>
          </w:p>
        </w:tc>
        <w:tc>
          <w:tcPr>
            <w:tcW w:w="3957" w:type="dxa"/>
            <w:vAlign w:val="top"/>
          </w:tcPr>
          <w:p w:rsidR="00977220" w:rsidRPr="008B1F18" w:rsidRDefault="00977220" w:rsidP="00494E54">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MT"/>
                <w:spacing w:val="0"/>
                <w:sz w:val="20"/>
                <w:lang w:bidi="ar-SA"/>
              </w:rPr>
            </w:pPr>
            <w:r w:rsidRPr="008B1F18">
              <w:rPr>
                <w:rFonts w:asciiTheme="minorHAnsi" w:hAnsiTheme="minorHAnsi" w:cs="ArialMT"/>
                <w:spacing w:val="0"/>
                <w:sz w:val="20"/>
                <w:lang w:bidi="ar-SA"/>
              </w:rPr>
              <w:t>Nevyjasněné vlastnické vztahy</w:t>
            </w:r>
          </w:p>
        </w:tc>
      </w:tr>
    </w:tbl>
    <w:p w:rsidR="00977220" w:rsidRDefault="00977220" w:rsidP="00977220">
      <w:pPr>
        <w:spacing w:before="0" w:after="120"/>
        <w:rPr>
          <w:sz w:val="16"/>
          <w:szCs w:val="16"/>
        </w:rPr>
      </w:pPr>
      <w:r w:rsidRPr="00DA6B2E">
        <w:rPr>
          <w:sz w:val="16"/>
          <w:szCs w:val="16"/>
        </w:rPr>
        <w:t xml:space="preserve">Zdroj: </w:t>
      </w:r>
      <w:r>
        <w:rPr>
          <w:sz w:val="16"/>
          <w:szCs w:val="16"/>
        </w:rPr>
        <w:t>MěÚ Ostrov</w:t>
      </w:r>
    </w:p>
    <w:p w:rsidR="00DB664C" w:rsidRDefault="00DB664C" w:rsidP="00977220">
      <w:pPr>
        <w:spacing w:before="0" w:after="120"/>
        <w:rPr>
          <w:sz w:val="16"/>
          <w:szCs w:val="16"/>
        </w:rPr>
      </w:pPr>
    </w:p>
    <w:p w:rsidR="00001931" w:rsidRPr="00FB73DB" w:rsidRDefault="009E47EB" w:rsidP="008B1F18">
      <w:pPr>
        <w:pStyle w:val="Nadpis4"/>
        <w:pBdr>
          <w:top w:val="none" w:sz="0" w:space="0" w:color="auto"/>
          <w:left w:val="none" w:sz="0" w:space="0" w:color="auto"/>
        </w:pBdr>
        <w:shd w:val="clear" w:color="auto" w:fill="372C74"/>
        <w:spacing w:before="0"/>
        <w:ind w:firstLine="0"/>
        <w:rPr>
          <w:color w:val="auto"/>
          <w:spacing w:val="4"/>
          <w:szCs w:val="24"/>
        </w:rPr>
      </w:pPr>
      <w:bookmarkStart w:id="99" w:name="_Toc516058326"/>
      <w:r w:rsidRPr="00FB73DB">
        <w:rPr>
          <w:color w:val="auto"/>
          <w:spacing w:val="4"/>
          <w:szCs w:val="24"/>
        </w:rPr>
        <w:t>V</w:t>
      </w:r>
      <w:r w:rsidR="00001931" w:rsidRPr="00FB73DB">
        <w:rPr>
          <w:color w:val="auto"/>
          <w:spacing w:val="4"/>
          <w:szCs w:val="24"/>
        </w:rPr>
        <w:t xml:space="preserve">I. </w:t>
      </w:r>
      <w:r w:rsidRPr="00FB73DB">
        <w:rPr>
          <w:color w:val="auto"/>
          <w:spacing w:val="4"/>
          <w:szCs w:val="24"/>
        </w:rPr>
        <w:t xml:space="preserve">Sport a </w:t>
      </w:r>
      <w:r w:rsidR="0035225A">
        <w:rPr>
          <w:color w:val="auto"/>
          <w:spacing w:val="4"/>
          <w:szCs w:val="24"/>
        </w:rPr>
        <w:t>tělovýchova</w:t>
      </w:r>
      <w:bookmarkEnd w:id="99"/>
    </w:p>
    <w:p w:rsidR="004E0C5B" w:rsidRPr="00826500" w:rsidRDefault="004E0C5B" w:rsidP="008B1F18">
      <w:pPr>
        <w:pStyle w:val="Nadpis5"/>
        <w:spacing w:before="120"/>
      </w:pPr>
      <w:r w:rsidRPr="00826500">
        <w:t>Sport a sportovní centra</w:t>
      </w:r>
    </w:p>
    <w:p w:rsidR="00977220" w:rsidRDefault="001B3CEE" w:rsidP="008B1F18">
      <w:pPr>
        <w:spacing w:after="0"/>
        <w:rPr>
          <w:rFonts w:asciiTheme="majorHAnsi" w:hAnsiTheme="majorHAnsi" w:cs="Arial"/>
          <w:spacing w:val="0"/>
          <w:szCs w:val="22"/>
          <w:lang w:bidi="ar-SA"/>
        </w:rPr>
      </w:pPr>
      <w:r>
        <w:rPr>
          <w:rFonts w:asciiTheme="majorHAnsi" w:hAnsiTheme="majorHAnsi" w:cs="Arial"/>
          <w:spacing w:val="0"/>
          <w:szCs w:val="22"/>
          <w:lang w:bidi="ar-SA"/>
        </w:rPr>
        <w:t xml:space="preserve"> </w:t>
      </w:r>
      <w:r w:rsidR="00977220">
        <w:rPr>
          <w:rFonts w:asciiTheme="majorHAnsi" w:hAnsiTheme="majorHAnsi" w:cs="Arial"/>
          <w:spacing w:val="0"/>
          <w:szCs w:val="22"/>
          <w:lang w:bidi="ar-SA"/>
        </w:rPr>
        <w:t>Ze sportovních zařízení v Ostrově jsou v České unii sportu registrovány:</w:t>
      </w:r>
    </w:p>
    <w:p w:rsidR="00977220" w:rsidRDefault="00977220" w:rsidP="008B1F18">
      <w:pPr>
        <w:pStyle w:val="Odstavecseseznamem"/>
        <w:numPr>
          <w:ilvl w:val="0"/>
          <w:numId w:val="12"/>
        </w:numPr>
        <w:spacing w:before="0"/>
        <w:ind w:left="714" w:hanging="357"/>
        <w:rPr>
          <w:rFonts w:asciiTheme="majorHAnsi" w:hAnsiTheme="majorHAnsi" w:cs="Arial"/>
          <w:spacing w:val="0"/>
          <w:szCs w:val="22"/>
          <w:lang w:bidi="ar-SA"/>
        </w:rPr>
      </w:pPr>
      <w:r w:rsidRPr="007D05E5">
        <w:rPr>
          <w:rFonts w:asciiTheme="majorHAnsi" w:hAnsiTheme="majorHAnsi" w:cs="Arial"/>
          <w:spacing w:val="0"/>
          <w:szCs w:val="22"/>
          <w:lang w:bidi="ar-SA"/>
        </w:rPr>
        <w:t>Fotbalové hřiště FK Ostrov, jehož vlastníkem je Fotbalový klub Ostrov, z.s.</w:t>
      </w:r>
    </w:p>
    <w:p w:rsidR="00977220" w:rsidRPr="007D05E5" w:rsidRDefault="00977220" w:rsidP="00977220">
      <w:pPr>
        <w:pStyle w:val="Odstavecseseznamem"/>
        <w:numPr>
          <w:ilvl w:val="0"/>
          <w:numId w:val="12"/>
        </w:numPr>
        <w:rPr>
          <w:rFonts w:asciiTheme="majorHAnsi" w:hAnsiTheme="majorHAnsi" w:cs="Arial"/>
          <w:spacing w:val="0"/>
          <w:szCs w:val="22"/>
          <w:lang w:bidi="ar-SA"/>
        </w:rPr>
      </w:pPr>
      <w:r>
        <w:rPr>
          <w:rFonts w:asciiTheme="majorHAnsi" w:hAnsiTheme="majorHAnsi" w:cs="Arial"/>
          <w:spacing w:val="0"/>
          <w:szCs w:val="22"/>
          <w:lang w:bidi="ar-SA"/>
        </w:rPr>
        <w:t>Volejbalové kurty TJ Ostrov, jejichž vlastníkem je Tělovýchovná jednota Ostrov, z.s.</w:t>
      </w:r>
    </w:p>
    <w:p w:rsidR="004E0C5B" w:rsidRPr="00826500" w:rsidRDefault="004E0C5B" w:rsidP="004E0C5B">
      <w:pPr>
        <w:pStyle w:val="Nadpis5"/>
        <w:rPr>
          <w:rFonts w:asciiTheme="majorHAnsi" w:hAnsiTheme="majorHAnsi"/>
        </w:rPr>
      </w:pPr>
      <w:r w:rsidRPr="00826500">
        <w:rPr>
          <w:rFonts w:asciiTheme="majorHAnsi" w:hAnsiTheme="majorHAnsi"/>
        </w:rPr>
        <w:t xml:space="preserve">Další </w:t>
      </w:r>
      <w:r w:rsidR="00D9380A">
        <w:rPr>
          <w:rFonts w:asciiTheme="majorHAnsi" w:hAnsiTheme="majorHAnsi"/>
        </w:rPr>
        <w:t xml:space="preserve">možnosti </w:t>
      </w:r>
      <w:r w:rsidRPr="00826500">
        <w:rPr>
          <w:rFonts w:asciiTheme="majorHAnsi" w:hAnsiTheme="majorHAnsi"/>
        </w:rPr>
        <w:t>sportovní</w:t>
      </w:r>
      <w:r w:rsidR="00D9380A">
        <w:rPr>
          <w:rFonts w:asciiTheme="majorHAnsi" w:hAnsiTheme="majorHAnsi"/>
        </w:rPr>
        <w:t>ho</w:t>
      </w:r>
      <w:r w:rsidRPr="00826500">
        <w:rPr>
          <w:rFonts w:asciiTheme="majorHAnsi" w:hAnsiTheme="majorHAnsi"/>
        </w:rPr>
        <w:t xml:space="preserve"> vyžití ve městě či jeho okolí</w:t>
      </w:r>
    </w:p>
    <w:p w:rsidR="009F23C7" w:rsidRDefault="00977220">
      <w:r>
        <w:t>V rámci Městského domu dětí a mládeže Ostrov působí Tělovýchovná jednota se sedmi oddíly a je provozován Zimní stadion.</w:t>
      </w:r>
    </w:p>
    <w:p w:rsidR="009F23C7" w:rsidRPr="00FB73DB" w:rsidRDefault="009F23C7" w:rsidP="009F23C7">
      <w:pPr>
        <w:pStyle w:val="Nadpis4"/>
        <w:pBdr>
          <w:top w:val="none" w:sz="0" w:space="0" w:color="auto"/>
          <w:left w:val="none" w:sz="0" w:space="0" w:color="auto"/>
        </w:pBdr>
        <w:shd w:val="clear" w:color="auto" w:fill="372C74"/>
        <w:spacing w:before="0" w:after="200"/>
        <w:ind w:firstLine="0"/>
        <w:rPr>
          <w:color w:val="auto"/>
          <w:spacing w:val="4"/>
          <w:szCs w:val="24"/>
        </w:rPr>
      </w:pPr>
      <w:bookmarkStart w:id="100" w:name="_Toc516058327"/>
      <w:r w:rsidRPr="00FB73DB">
        <w:rPr>
          <w:color w:val="auto"/>
          <w:spacing w:val="4"/>
          <w:szCs w:val="24"/>
        </w:rPr>
        <w:lastRenderedPageBreak/>
        <w:t>V</w:t>
      </w:r>
      <w:r>
        <w:rPr>
          <w:color w:val="auto"/>
          <w:spacing w:val="4"/>
          <w:szCs w:val="24"/>
        </w:rPr>
        <w:t>II</w:t>
      </w:r>
      <w:r w:rsidRPr="00FB73DB">
        <w:rPr>
          <w:color w:val="auto"/>
          <w:spacing w:val="4"/>
          <w:szCs w:val="24"/>
        </w:rPr>
        <w:t xml:space="preserve">. </w:t>
      </w:r>
      <w:r>
        <w:rPr>
          <w:color w:val="auto"/>
          <w:spacing w:val="4"/>
          <w:szCs w:val="24"/>
        </w:rPr>
        <w:t>Zájmová činnost mládeže</w:t>
      </w:r>
      <w:bookmarkEnd w:id="100"/>
      <w:r w:rsidRPr="00FB73DB">
        <w:rPr>
          <w:color w:val="auto"/>
          <w:spacing w:val="4"/>
          <w:szCs w:val="24"/>
        </w:rPr>
        <w:t xml:space="preserve"> </w:t>
      </w:r>
    </w:p>
    <w:p w:rsidR="00D70FC9" w:rsidRPr="00D70FC9" w:rsidRDefault="00D70FC9" w:rsidP="00D70FC9">
      <w:pPr>
        <w:spacing w:before="120" w:after="120"/>
      </w:pPr>
      <w:r w:rsidRPr="00977220">
        <w:rPr>
          <w:b/>
        </w:rPr>
        <w:t>Středisko volného času pro děti a mládež</w:t>
      </w:r>
      <w:r w:rsidRPr="00D70FC9">
        <w:t xml:space="preserve"> je v ORP jedno – Městský dům dětí a mládeže v Ostrově. MDDM nabízí více než 130 zájmových kroužků různých zaměření (sport, výuka jazyků, modelářské,</w:t>
      </w:r>
      <w:r>
        <w:t xml:space="preserve"> </w:t>
      </w:r>
      <w:r w:rsidRPr="00D70FC9">
        <w:t>rukodělné, výtvarné, taneční kroužky apod.), v Ekocentru, které je součástí MDDM probíhají kroužky</w:t>
      </w:r>
      <w:r>
        <w:t xml:space="preserve"> </w:t>
      </w:r>
      <w:r w:rsidRPr="00D70FC9">
        <w:t>spojené s chovem zvířectva či tábornictvím.</w:t>
      </w:r>
    </w:p>
    <w:p w:rsidR="00DB664C" w:rsidRDefault="00D70FC9" w:rsidP="00D70FC9">
      <w:pPr>
        <w:spacing w:before="120" w:after="120"/>
      </w:pPr>
      <w:r w:rsidRPr="00977220">
        <w:rPr>
          <w:b/>
        </w:rPr>
        <w:t>Základní umělecká škola</w:t>
      </w:r>
      <w:r w:rsidRPr="00D70FC9">
        <w:t xml:space="preserve"> poskytuje vzdělávání se v oborech hudební, výtvarný, taneční a dramatický.</w:t>
      </w:r>
    </w:p>
    <w:p w:rsidR="00DB664C" w:rsidRDefault="00DB664C" w:rsidP="00D70FC9">
      <w:pPr>
        <w:spacing w:before="120" w:after="120"/>
      </w:pPr>
    </w:p>
    <w:p w:rsidR="00DB664C" w:rsidRDefault="00DB664C" w:rsidP="00D70FC9">
      <w:pPr>
        <w:spacing w:before="120" w:after="120"/>
      </w:pPr>
    </w:p>
    <w:p w:rsidR="005468C9" w:rsidRDefault="005468C9" w:rsidP="00D70FC9">
      <w:pPr>
        <w:spacing w:before="120" w:after="120"/>
      </w:pPr>
    </w:p>
    <w:tbl>
      <w:tblPr>
        <w:tblW w:w="0" w:type="auto"/>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ook w:val="04A0" w:firstRow="1" w:lastRow="0" w:firstColumn="1" w:lastColumn="0" w:noHBand="0" w:noVBand="1"/>
      </w:tblPr>
      <w:tblGrid>
        <w:gridCol w:w="675"/>
        <w:gridCol w:w="4051"/>
        <w:gridCol w:w="627"/>
        <w:gridCol w:w="4099"/>
      </w:tblGrid>
      <w:tr w:rsidR="0094602B" w:rsidRPr="00253E29" w:rsidTr="00155DC6">
        <w:tc>
          <w:tcPr>
            <w:tcW w:w="9452" w:type="dxa"/>
            <w:gridSpan w:val="4"/>
            <w:tcBorders>
              <w:top w:val="single" w:sz="12" w:space="0" w:color="372C74"/>
              <w:left w:val="single" w:sz="12" w:space="0" w:color="372C74"/>
              <w:bottom w:val="single" w:sz="4" w:space="0" w:color="auto"/>
              <w:right w:val="single" w:sz="12" w:space="0" w:color="372C74"/>
              <w:tl2br w:val="nil"/>
              <w:tr2bl w:val="nil"/>
            </w:tcBorders>
            <w:shd w:val="clear" w:color="auto" w:fill="372C74"/>
            <w:vAlign w:val="center"/>
          </w:tcPr>
          <w:p w:rsidR="0094602B" w:rsidRPr="00053817" w:rsidRDefault="0094602B" w:rsidP="00155DC6">
            <w:pPr>
              <w:autoSpaceDE w:val="0"/>
              <w:autoSpaceDN w:val="0"/>
              <w:adjustRightInd w:val="0"/>
              <w:spacing w:before="0" w:after="0" w:line="240" w:lineRule="auto"/>
              <w:rPr>
                <w:b/>
                <w:lang w:bidi="ar-SA"/>
              </w:rPr>
            </w:pPr>
            <w:r w:rsidRPr="00053817">
              <w:rPr>
                <w:b/>
                <w:lang w:bidi="ar-SA"/>
              </w:rPr>
              <w:t>Shrnutí hlavních pozitivních a negativních charakteristik a očekávaných trendů v</w:t>
            </w:r>
            <w:r w:rsidR="00506B53">
              <w:rPr>
                <w:b/>
                <w:lang w:bidi="ar-SA"/>
              </w:rPr>
              <w:t> </w:t>
            </w:r>
            <w:r w:rsidRPr="00053817">
              <w:rPr>
                <w:b/>
                <w:lang w:bidi="ar-SA"/>
              </w:rPr>
              <w:t>oblasti</w:t>
            </w:r>
          </w:p>
          <w:p w:rsidR="0094602B" w:rsidRPr="00053817" w:rsidRDefault="0094602B" w:rsidP="00155DC6">
            <w:pPr>
              <w:autoSpaceDE w:val="0"/>
              <w:autoSpaceDN w:val="0"/>
              <w:adjustRightInd w:val="0"/>
              <w:spacing w:before="0" w:after="0" w:line="240" w:lineRule="auto"/>
              <w:jc w:val="center"/>
              <w:rPr>
                <w:rFonts w:cs="Arial-ItalicMT"/>
                <w:b/>
                <w:iCs/>
                <w:szCs w:val="22"/>
              </w:rPr>
            </w:pPr>
            <w:r>
              <w:rPr>
                <w:b/>
                <w:lang w:bidi="ar-SA"/>
              </w:rPr>
              <w:t>Vybavenost</w:t>
            </w:r>
          </w:p>
        </w:tc>
      </w:tr>
      <w:tr w:rsidR="0094602B" w:rsidRPr="00E1313D" w:rsidTr="00155DC6">
        <w:tc>
          <w:tcPr>
            <w:tcW w:w="675" w:type="dxa"/>
            <w:tcBorders>
              <w:top w:val="single" w:sz="4" w:space="0" w:color="auto"/>
              <w:left w:val="single" w:sz="4" w:space="0" w:color="auto"/>
              <w:bottom w:val="single" w:sz="4" w:space="0" w:color="auto"/>
              <w:right w:val="nil"/>
              <w:tl2br w:val="nil"/>
              <w:tr2bl w:val="nil"/>
            </w:tcBorders>
            <w:shd w:val="clear" w:color="auto" w:fill="DDE9EC"/>
            <w:vAlign w:val="center"/>
          </w:tcPr>
          <w:p w:rsidR="0094602B" w:rsidRPr="00A733CF" w:rsidRDefault="0094602B" w:rsidP="00155DC6">
            <w:pPr>
              <w:autoSpaceDE w:val="0"/>
              <w:autoSpaceDN w:val="0"/>
              <w:adjustRightInd w:val="0"/>
              <w:spacing w:before="60" w:after="60" w:line="240" w:lineRule="auto"/>
              <w:jc w:val="center"/>
              <w:rPr>
                <w:rFonts w:ascii="Arial Black" w:hAnsi="Arial Black" w:cs="Arial-ItalicMT"/>
                <w:b/>
                <w:iCs/>
                <w:color w:val="00B050"/>
                <w:szCs w:val="22"/>
              </w:rPr>
            </w:pPr>
            <w:r w:rsidRPr="00A733CF">
              <w:rPr>
                <w:rFonts w:ascii="Arial Black" w:hAnsi="Arial Black" w:cs="Arial-ItalicMT"/>
                <w:b/>
                <w:iCs/>
                <w:color w:val="00B050"/>
                <w:sz w:val="40"/>
                <w:szCs w:val="40"/>
              </w:rPr>
              <w:t>+</w:t>
            </w:r>
          </w:p>
        </w:tc>
        <w:tc>
          <w:tcPr>
            <w:tcW w:w="4051" w:type="dxa"/>
            <w:tcBorders>
              <w:top w:val="single" w:sz="4" w:space="0" w:color="auto"/>
              <w:left w:val="nil"/>
              <w:bottom w:val="single" w:sz="4" w:space="0" w:color="auto"/>
              <w:right w:val="single" w:sz="4" w:space="0" w:color="auto"/>
            </w:tcBorders>
            <w:shd w:val="clear" w:color="auto" w:fill="DDE9EC"/>
          </w:tcPr>
          <w:p w:rsidR="00A04BC6" w:rsidRPr="00C21D30" w:rsidRDefault="00A04BC6" w:rsidP="00A04BC6">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C21D30">
              <w:rPr>
                <w:rFonts w:cs="Arial-ItalicMT"/>
                <w:iCs/>
                <w:szCs w:val="22"/>
              </w:rPr>
              <w:t>Dobrá úroveň komunitního plánování</w:t>
            </w:r>
          </w:p>
          <w:p w:rsidR="00A04BC6" w:rsidRPr="00C21D30" w:rsidRDefault="00A04BC6" w:rsidP="00A04BC6">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C21D30">
              <w:rPr>
                <w:rFonts w:cs="Arial-ItalicMT"/>
                <w:iCs/>
                <w:szCs w:val="22"/>
              </w:rPr>
              <w:t>Efektivně fungující síť sociálních služeb, zejména pobytových a pečovatelských.</w:t>
            </w:r>
          </w:p>
          <w:p w:rsidR="00A04BC6" w:rsidRPr="00A04BC6" w:rsidRDefault="00A04BC6" w:rsidP="00A04BC6">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A04BC6">
              <w:rPr>
                <w:rFonts w:cs="Arial-ItalicMT"/>
                <w:iCs/>
                <w:szCs w:val="22"/>
              </w:rPr>
              <w:t>Široká nabídka pravidelných i nepravidelných kulturních akcí.</w:t>
            </w:r>
          </w:p>
          <w:p w:rsidR="00A04BC6" w:rsidRPr="00A04BC6" w:rsidRDefault="00A04BC6" w:rsidP="00A04BC6">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A04BC6">
              <w:rPr>
                <w:rFonts w:cs="Arial-ItalicMT"/>
                <w:iCs/>
                <w:szCs w:val="22"/>
              </w:rPr>
              <w:t>Dostatečná potenciál pro zdravotnické služby</w:t>
            </w:r>
          </w:p>
          <w:p w:rsidR="00A04BC6" w:rsidRPr="00A04BC6" w:rsidRDefault="00A04BC6" w:rsidP="00A04BC6">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A04BC6">
              <w:rPr>
                <w:rFonts w:cs="Arial-ItalicMT"/>
                <w:iCs/>
                <w:szCs w:val="22"/>
              </w:rPr>
              <w:t>Fungující a spolupracující střediska kultury (DK) a volného času (ZUŠ, MDDM, MK, GU)</w:t>
            </w:r>
          </w:p>
          <w:p w:rsidR="00A04BC6" w:rsidRPr="00C21D30" w:rsidRDefault="00A04BC6" w:rsidP="00A04BC6">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C21D30">
              <w:rPr>
                <w:rFonts w:cs="Arial-ItalicMT"/>
                <w:iCs/>
                <w:szCs w:val="22"/>
              </w:rPr>
              <w:t>Velké množství dětských hřišť</w:t>
            </w:r>
          </w:p>
          <w:p w:rsidR="00D97DC5" w:rsidRPr="00136511" w:rsidRDefault="00A04BC6" w:rsidP="00A04BC6">
            <w:pPr>
              <w:pStyle w:val="Odstavecseseznamem"/>
              <w:numPr>
                <w:ilvl w:val="0"/>
                <w:numId w:val="1"/>
              </w:numPr>
              <w:autoSpaceDE w:val="0"/>
              <w:autoSpaceDN w:val="0"/>
              <w:adjustRightInd w:val="0"/>
              <w:spacing w:before="60" w:after="60" w:line="240" w:lineRule="auto"/>
              <w:ind w:left="470" w:hanging="510"/>
              <w:jc w:val="left"/>
              <w:rPr>
                <w:rFonts w:asciiTheme="majorHAnsi" w:hAnsiTheme="majorHAnsi" w:cs="Arial-ItalicMT"/>
                <w:iCs/>
                <w:szCs w:val="22"/>
              </w:rPr>
            </w:pPr>
            <w:r w:rsidRPr="00C21D30">
              <w:rPr>
                <w:rFonts w:cs="Arial-ItalicMT"/>
                <w:iCs/>
                <w:szCs w:val="22"/>
              </w:rPr>
              <w:t>Dobrá úroveň školek, základních škol i středních škol</w:t>
            </w:r>
          </w:p>
        </w:tc>
        <w:tc>
          <w:tcPr>
            <w:tcW w:w="627" w:type="dxa"/>
            <w:tcBorders>
              <w:top w:val="single" w:sz="4" w:space="0" w:color="auto"/>
              <w:left w:val="single" w:sz="4" w:space="0" w:color="auto"/>
              <w:bottom w:val="single" w:sz="4" w:space="0" w:color="auto"/>
              <w:right w:val="nil"/>
            </w:tcBorders>
            <w:shd w:val="clear" w:color="auto" w:fill="DDE9EC"/>
            <w:vAlign w:val="center"/>
          </w:tcPr>
          <w:p w:rsidR="0094602B" w:rsidRPr="00A733CF" w:rsidRDefault="0094602B" w:rsidP="00155DC6">
            <w:pPr>
              <w:autoSpaceDE w:val="0"/>
              <w:autoSpaceDN w:val="0"/>
              <w:adjustRightInd w:val="0"/>
              <w:spacing w:before="60" w:after="60" w:line="240" w:lineRule="auto"/>
              <w:jc w:val="center"/>
              <w:rPr>
                <w:rFonts w:ascii="Arial Black" w:hAnsi="Arial Black" w:cs="Arial-ItalicMT"/>
                <w:iCs/>
                <w:color w:val="FF0000"/>
                <w:sz w:val="40"/>
                <w:szCs w:val="40"/>
              </w:rPr>
            </w:pPr>
            <w:r w:rsidRPr="00A733CF">
              <w:rPr>
                <w:rFonts w:ascii="Arial Black" w:hAnsi="Arial Black" w:cs="Arial-ItalicMT"/>
                <w:b/>
                <w:iCs/>
                <w:color w:val="FF0000"/>
                <w:sz w:val="40"/>
                <w:szCs w:val="40"/>
              </w:rPr>
              <w:t>-</w:t>
            </w:r>
          </w:p>
        </w:tc>
        <w:tc>
          <w:tcPr>
            <w:tcW w:w="4099" w:type="dxa"/>
            <w:tcBorders>
              <w:top w:val="single" w:sz="4" w:space="0" w:color="auto"/>
              <w:left w:val="nil"/>
              <w:bottom w:val="single" w:sz="4" w:space="0" w:color="auto"/>
              <w:right w:val="single" w:sz="4" w:space="0" w:color="auto"/>
            </w:tcBorders>
            <w:shd w:val="clear" w:color="auto" w:fill="DDE9EC"/>
          </w:tcPr>
          <w:p w:rsidR="002C64BF" w:rsidRDefault="00136511" w:rsidP="006164A0">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iCs/>
                <w:szCs w:val="22"/>
              </w:rPr>
            </w:pPr>
            <w:r>
              <w:rPr>
                <w:rFonts w:asciiTheme="majorHAnsi" w:hAnsiTheme="majorHAnsi" w:cs="Arial-ItalicMT"/>
                <w:iCs/>
                <w:szCs w:val="22"/>
              </w:rPr>
              <w:t>A</w:t>
            </w:r>
            <w:r w:rsidRPr="00136511">
              <w:rPr>
                <w:rFonts w:asciiTheme="majorHAnsi" w:hAnsiTheme="majorHAnsi" w:cs="Arial-ItalicMT"/>
                <w:iCs/>
                <w:szCs w:val="22"/>
              </w:rPr>
              <w:t>bsence některých lékařských oborů v zdravotních zařízeních ve městě.</w:t>
            </w:r>
          </w:p>
          <w:p w:rsidR="002C64BF" w:rsidRDefault="002C64BF" w:rsidP="002C64BF">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iCs/>
                <w:szCs w:val="22"/>
              </w:rPr>
            </w:pPr>
            <w:r>
              <w:rPr>
                <w:rFonts w:asciiTheme="majorHAnsi" w:hAnsiTheme="majorHAnsi" w:cs="Arial-ItalicMT"/>
                <w:iCs/>
                <w:szCs w:val="22"/>
              </w:rPr>
              <w:t>Absence pohotovostní lékařské služby pro děti a dorost.</w:t>
            </w:r>
          </w:p>
          <w:p w:rsidR="002C64BF" w:rsidRDefault="002C64BF" w:rsidP="002C64BF">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iCs/>
                <w:szCs w:val="22"/>
              </w:rPr>
            </w:pPr>
            <w:r>
              <w:rPr>
                <w:rFonts w:asciiTheme="majorHAnsi" w:hAnsiTheme="majorHAnsi" w:cs="Arial-ItalicMT"/>
                <w:iCs/>
                <w:szCs w:val="22"/>
              </w:rPr>
              <w:t>Nerozvinuté bezbariérové přístupy ve městě.</w:t>
            </w:r>
          </w:p>
          <w:p w:rsidR="002C64BF" w:rsidRDefault="002C64BF" w:rsidP="002C64BF">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iCs/>
                <w:szCs w:val="22"/>
              </w:rPr>
            </w:pPr>
            <w:r>
              <w:rPr>
                <w:rFonts w:asciiTheme="majorHAnsi" w:hAnsiTheme="majorHAnsi" w:cs="Arial-ItalicMT"/>
                <w:iCs/>
                <w:szCs w:val="22"/>
              </w:rPr>
              <w:t>Nedostatečně rozvinuté sociální bydlení.</w:t>
            </w:r>
          </w:p>
          <w:p w:rsidR="002C64BF" w:rsidRDefault="002C64BF" w:rsidP="002C64BF">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iCs/>
                <w:szCs w:val="22"/>
              </w:rPr>
            </w:pPr>
            <w:r>
              <w:rPr>
                <w:rFonts w:asciiTheme="majorHAnsi" w:hAnsiTheme="majorHAnsi" w:cs="Arial-ItalicMT"/>
                <w:iCs/>
                <w:szCs w:val="22"/>
              </w:rPr>
              <w:t xml:space="preserve">Nízká sociální a zdravotní gramotnost sociálně vyloučených osob. </w:t>
            </w:r>
          </w:p>
          <w:p w:rsidR="002C64BF" w:rsidRDefault="002C64BF" w:rsidP="002C64BF">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iCs/>
                <w:szCs w:val="22"/>
              </w:rPr>
            </w:pPr>
            <w:r>
              <w:rPr>
                <w:rFonts w:asciiTheme="majorHAnsi" w:hAnsiTheme="majorHAnsi" w:cs="Arial-ItalicMT"/>
                <w:iCs/>
                <w:szCs w:val="22"/>
              </w:rPr>
              <w:t>Absence odlehčovací služby pro osoby se sníženou soběstačností.</w:t>
            </w:r>
          </w:p>
          <w:p w:rsidR="005468C9" w:rsidRPr="009A10FF" w:rsidRDefault="005468C9" w:rsidP="00A04BC6">
            <w:pPr>
              <w:pStyle w:val="Odstavecseseznamem"/>
              <w:autoSpaceDE w:val="0"/>
              <w:autoSpaceDN w:val="0"/>
              <w:adjustRightInd w:val="0"/>
              <w:spacing w:before="60" w:after="60" w:line="240" w:lineRule="auto"/>
              <w:ind w:left="317"/>
              <w:jc w:val="left"/>
              <w:rPr>
                <w:rFonts w:asciiTheme="majorHAnsi" w:hAnsiTheme="majorHAnsi" w:cs="Arial-ItalicMT"/>
                <w:iCs/>
                <w:szCs w:val="22"/>
              </w:rPr>
            </w:pPr>
          </w:p>
        </w:tc>
      </w:tr>
      <w:tr w:rsidR="0094602B" w:rsidTr="00155DC6">
        <w:tc>
          <w:tcPr>
            <w:tcW w:w="9452" w:type="dxa"/>
            <w:gridSpan w:val="4"/>
            <w:tcBorders>
              <w:top w:val="nil"/>
              <w:left w:val="single" w:sz="4" w:space="0" w:color="auto"/>
              <w:bottom w:val="single" w:sz="4" w:space="0" w:color="auto"/>
              <w:right w:val="single" w:sz="4" w:space="0" w:color="auto"/>
              <w:tl2br w:val="nil"/>
              <w:tr2bl w:val="nil"/>
            </w:tcBorders>
            <w:shd w:val="clear" w:color="auto" w:fill="DDE9EC"/>
            <w:vAlign w:val="center"/>
          </w:tcPr>
          <w:p w:rsidR="0094602B" w:rsidRDefault="0094602B" w:rsidP="00155DC6">
            <w:pPr>
              <w:autoSpaceDE w:val="0"/>
              <w:autoSpaceDN w:val="0"/>
              <w:adjustRightInd w:val="0"/>
              <w:spacing w:before="60" w:after="60" w:line="240" w:lineRule="auto"/>
              <w:rPr>
                <w:rFonts w:cs="Arial-ItalicMT"/>
                <w:iCs/>
                <w:color w:val="372C74"/>
                <w:szCs w:val="22"/>
              </w:rPr>
            </w:pPr>
            <w:r>
              <w:rPr>
                <w:rFonts w:cs="Arial-ItalicMT"/>
                <w:iCs/>
                <w:color w:val="372C74"/>
                <w:szCs w:val="22"/>
              </w:rPr>
              <w:t>Komentář:</w:t>
            </w:r>
          </w:p>
          <w:p w:rsidR="00A04BC6" w:rsidRDefault="00A04BC6" w:rsidP="00A04BC6">
            <w:pPr>
              <w:autoSpaceDE w:val="0"/>
              <w:autoSpaceDN w:val="0"/>
              <w:adjustRightInd w:val="0"/>
              <w:spacing w:before="60" w:after="60" w:line="240" w:lineRule="auto"/>
              <w:rPr>
                <w:rFonts w:cs="Arial-ItalicMT"/>
                <w:iCs/>
                <w:color w:val="372C74"/>
                <w:szCs w:val="22"/>
              </w:rPr>
            </w:pPr>
            <w:r>
              <w:rPr>
                <w:rFonts w:cs="Arial-ItalicMT"/>
                <w:iCs/>
                <w:color w:val="372C74"/>
                <w:szCs w:val="22"/>
              </w:rPr>
              <w:t>Před správou města stojí dvě základní výzvy.</w:t>
            </w:r>
          </w:p>
          <w:p w:rsidR="00A04BC6" w:rsidRDefault="00A04BC6" w:rsidP="00A04BC6">
            <w:pPr>
              <w:autoSpaceDE w:val="0"/>
              <w:autoSpaceDN w:val="0"/>
              <w:adjustRightInd w:val="0"/>
              <w:spacing w:before="60" w:after="60" w:line="240" w:lineRule="auto"/>
              <w:rPr>
                <w:rFonts w:cs="Arial-ItalicMT"/>
                <w:iCs/>
                <w:color w:val="372C74"/>
                <w:szCs w:val="22"/>
              </w:rPr>
            </w:pPr>
            <w:r>
              <w:rPr>
                <w:rFonts w:cs="Arial-ItalicMT"/>
                <w:iCs/>
                <w:color w:val="372C74"/>
                <w:szCs w:val="22"/>
              </w:rPr>
              <w:t>Zajistit, aby obyvatelé, kteří jsou odhodláni ve městě zůstat měli možnost získat odpovídající bydlení a za druhé., aby ti co ve městě zůstanou měli přístup k odpovídající zdravotní péči.</w:t>
            </w:r>
          </w:p>
          <w:p w:rsidR="00A04BC6" w:rsidRDefault="00A04BC6" w:rsidP="00A04BC6">
            <w:pPr>
              <w:autoSpaceDE w:val="0"/>
              <w:autoSpaceDN w:val="0"/>
              <w:adjustRightInd w:val="0"/>
              <w:spacing w:before="60" w:after="60" w:line="240" w:lineRule="auto"/>
              <w:rPr>
                <w:rFonts w:cs="Arial-ItalicMT"/>
                <w:iCs/>
                <w:color w:val="372C74"/>
                <w:szCs w:val="22"/>
              </w:rPr>
            </w:pPr>
            <w:r>
              <w:rPr>
                <w:rFonts w:cs="Arial-ItalicMT"/>
                <w:iCs/>
                <w:color w:val="372C74"/>
                <w:szCs w:val="22"/>
              </w:rPr>
              <w:t>Oba tyto faktory mohou sehrát významnou roli při odlivu mladých lidí z města a částečně kompenzovat negativní demografický vývoj.</w:t>
            </w:r>
          </w:p>
          <w:p w:rsidR="007E3251" w:rsidRPr="00053817" w:rsidRDefault="00A04BC6" w:rsidP="00A04BC6">
            <w:pPr>
              <w:autoSpaceDE w:val="0"/>
              <w:autoSpaceDN w:val="0"/>
              <w:adjustRightInd w:val="0"/>
              <w:spacing w:before="60" w:after="60" w:line="240" w:lineRule="auto"/>
              <w:rPr>
                <w:rFonts w:cs="Arial-ItalicMT"/>
                <w:iCs/>
                <w:color w:val="372C74"/>
                <w:szCs w:val="22"/>
              </w:rPr>
            </w:pPr>
            <w:r>
              <w:rPr>
                <w:rFonts w:cs="Arial-ItalicMT"/>
                <w:iCs/>
                <w:color w:val="372C74"/>
                <w:szCs w:val="22"/>
              </w:rPr>
              <w:t>Třetí výzvou je stárnutí populace a možnost rozvoje mezigeneračních konfliktů.</w:t>
            </w:r>
          </w:p>
        </w:tc>
      </w:tr>
    </w:tbl>
    <w:p w:rsidR="00DD6B7A" w:rsidRDefault="00DD6B7A" w:rsidP="00DD6B7A"/>
    <w:p w:rsidR="00DD6B7A" w:rsidRDefault="00DD6B7A" w:rsidP="00DD6B7A">
      <w:pPr>
        <w:rPr>
          <w:color w:val="1B1639"/>
          <w:spacing w:val="15"/>
          <w:sz w:val="24"/>
          <w:szCs w:val="22"/>
        </w:rPr>
      </w:pPr>
      <w:r>
        <w:br w:type="page"/>
      </w:r>
    </w:p>
    <w:p w:rsidR="009E47EB" w:rsidRDefault="0058716F" w:rsidP="009E47EB">
      <w:pPr>
        <w:pStyle w:val="Nadpis3"/>
        <w:spacing w:line="240" w:lineRule="auto"/>
      </w:pPr>
      <w:bookmarkStart w:id="101" w:name="_Toc516058328"/>
      <w:r>
        <w:lastRenderedPageBreak/>
        <w:t>P</w:t>
      </w:r>
      <w:r w:rsidR="009E47EB">
        <w:t>.1.6</w:t>
      </w:r>
      <w:r w:rsidR="009E47EB" w:rsidRPr="005F0699">
        <w:t xml:space="preserve"> </w:t>
      </w:r>
      <w:r w:rsidR="009E47EB">
        <w:t>Životní prostředí</w:t>
      </w:r>
      <w:bookmarkEnd w:id="101"/>
    </w:p>
    <w:p w:rsidR="00034CF2" w:rsidRDefault="00034CF2" w:rsidP="00034CF2"/>
    <w:p w:rsidR="00034CF2" w:rsidRPr="00FB73DB" w:rsidRDefault="00034CF2" w:rsidP="00034CF2">
      <w:pPr>
        <w:pStyle w:val="Nadpis4"/>
        <w:pBdr>
          <w:top w:val="none" w:sz="0" w:space="0" w:color="auto"/>
          <w:left w:val="none" w:sz="0" w:space="0" w:color="auto"/>
        </w:pBdr>
        <w:shd w:val="clear" w:color="auto" w:fill="372C74"/>
        <w:spacing w:before="0" w:after="200"/>
        <w:ind w:firstLine="0"/>
        <w:rPr>
          <w:color w:val="auto"/>
          <w:spacing w:val="4"/>
          <w:szCs w:val="24"/>
        </w:rPr>
      </w:pPr>
      <w:bookmarkStart w:id="102" w:name="_Toc516058329"/>
      <w:r w:rsidRPr="00FB73DB">
        <w:rPr>
          <w:color w:val="auto"/>
          <w:spacing w:val="4"/>
          <w:szCs w:val="24"/>
        </w:rPr>
        <w:t>I. Stav životního prostředí</w:t>
      </w:r>
      <w:bookmarkEnd w:id="102"/>
      <w:r w:rsidRPr="00FB73DB">
        <w:rPr>
          <w:color w:val="auto"/>
          <w:spacing w:val="4"/>
          <w:szCs w:val="24"/>
        </w:rPr>
        <w:t xml:space="preserve"> </w:t>
      </w:r>
    </w:p>
    <w:p w:rsidR="00034CF2" w:rsidRPr="008336AF" w:rsidRDefault="00034CF2" w:rsidP="00034CF2">
      <w:pPr>
        <w:pStyle w:val="Nadpis6"/>
      </w:pPr>
      <w:r w:rsidRPr="008336AF">
        <w:t>Ovzduší</w:t>
      </w:r>
    </w:p>
    <w:p w:rsidR="00034CF2" w:rsidRPr="008336AF" w:rsidRDefault="00034CF2" w:rsidP="00034CF2">
      <w:pPr>
        <w:widowControl w:val="0"/>
        <w:autoSpaceDE w:val="0"/>
        <w:autoSpaceDN w:val="0"/>
        <w:adjustRightInd w:val="0"/>
        <w:spacing w:before="0" w:after="0" w:line="240" w:lineRule="auto"/>
        <w:jc w:val="left"/>
        <w:rPr>
          <w:color w:val="FF0000"/>
        </w:rPr>
      </w:pPr>
    </w:p>
    <w:p w:rsidR="004668D5" w:rsidRDefault="004668D5" w:rsidP="003C564F">
      <w:pPr>
        <w:spacing w:before="120" w:after="120"/>
      </w:pPr>
      <w:r w:rsidRPr="008141BA">
        <w:t xml:space="preserve">Znečištění ovzduší je stále vážný environmentální problém nejen v průmyslových oblastech a velkých městech, ale i v malých obcích. Klíčovou roli zde hraje množství emisí, dálkový transport a rozptylové podmínky. Řadu problémů tedy nelze řešit izolovaně v rámci sledovaného území, ale nutná je spolupráce na větších územních celcích. </w:t>
      </w:r>
    </w:p>
    <w:p w:rsidR="003C564F" w:rsidRPr="008141BA" w:rsidRDefault="003C564F" w:rsidP="003C564F">
      <w:pPr>
        <w:spacing w:before="120" w:after="120"/>
      </w:pPr>
      <w:r>
        <w:t>Na území obce nebylo v letech 2015 ani 2016 zjištěno překročení imisních limitů pro zdraví lidí, s výjimkou koncentrací přízemního ozonu</w:t>
      </w:r>
      <w:r w:rsidR="00B9565D">
        <w:t>. Oproti řadě míst republiky je</w:t>
      </w:r>
      <w:r w:rsidR="000A4932">
        <w:t xml:space="preserve"> zde</w:t>
      </w:r>
      <w:r w:rsidR="00B9565D">
        <w:t xml:space="preserve"> tedy situace příznivá.</w:t>
      </w:r>
      <w:r>
        <w:t xml:space="preserve"> </w:t>
      </w:r>
    </w:p>
    <w:tbl>
      <w:tblPr>
        <w:tblW w:w="0" w:type="auto"/>
        <w:tblLook w:val="04A0" w:firstRow="1" w:lastRow="0" w:firstColumn="1" w:lastColumn="0" w:noHBand="0" w:noVBand="1"/>
      </w:tblPr>
      <w:tblGrid>
        <w:gridCol w:w="4726"/>
        <w:gridCol w:w="4726"/>
      </w:tblGrid>
      <w:tr w:rsidR="003C564F" w:rsidRPr="003B6B97" w:rsidTr="00066312">
        <w:tc>
          <w:tcPr>
            <w:tcW w:w="4726" w:type="dxa"/>
            <w:shd w:val="clear" w:color="auto" w:fill="auto"/>
            <w:vAlign w:val="center"/>
          </w:tcPr>
          <w:p w:rsidR="003C564F" w:rsidRPr="007026C2" w:rsidRDefault="001B340A" w:rsidP="00066312">
            <w:pPr>
              <w:spacing w:before="120" w:after="120"/>
            </w:pPr>
            <w:bookmarkStart w:id="103" w:name="_Toc516058987"/>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22</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Překročení imisního limitu pro O</w:t>
            </w:r>
            <w:r w:rsidR="003C564F" w:rsidRPr="007026C2">
              <w:rPr>
                <w:sz w:val="18"/>
                <w:szCs w:val="18"/>
                <w:vertAlign w:val="subscript"/>
              </w:rPr>
              <w:t>3</w:t>
            </w:r>
            <w:r w:rsidR="003C564F" w:rsidRPr="007026C2">
              <w:rPr>
                <w:sz w:val="18"/>
                <w:szCs w:val="18"/>
              </w:rPr>
              <w:t xml:space="preserve"> (2015)</w:t>
            </w:r>
            <w:bookmarkEnd w:id="103"/>
          </w:p>
        </w:tc>
        <w:tc>
          <w:tcPr>
            <w:tcW w:w="4726" w:type="dxa"/>
            <w:shd w:val="clear" w:color="auto" w:fill="auto"/>
            <w:vAlign w:val="center"/>
          </w:tcPr>
          <w:p w:rsidR="003C564F" w:rsidRPr="007026C2" w:rsidRDefault="001B340A" w:rsidP="00066312">
            <w:pPr>
              <w:spacing w:before="120" w:after="120"/>
              <w:rPr>
                <w:rFonts w:ascii="Cambria Math" w:hAnsi="Cambria Math" w:hint="eastAsia"/>
              </w:rPr>
            </w:pPr>
            <w:bookmarkStart w:id="104" w:name="_Toc516058988"/>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23</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Překročení imisního limitu pro O</w:t>
            </w:r>
            <w:r w:rsidR="003C564F" w:rsidRPr="007026C2">
              <w:rPr>
                <w:sz w:val="18"/>
                <w:szCs w:val="18"/>
                <w:vertAlign w:val="subscript"/>
              </w:rPr>
              <w:t>3</w:t>
            </w:r>
            <w:r w:rsidR="003C564F" w:rsidRPr="007026C2">
              <w:rPr>
                <w:sz w:val="18"/>
                <w:szCs w:val="18"/>
              </w:rPr>
              <w:t xml:space="preserve"> (2016)</w:t>
            </w:r>
            <w:bookmarkEnd w:id="104"/>
          </w:p>
        </w:tc>
      </w:tr>
      <w:tr w:rsidR="003C564F" w:rsidRPr="003B6B97" w:rsidTr="00066312">
        <w:trPr>
          <w:trHeight w:val="3392"/>
        </w:trPr>
        <w:tc>
          <w:tcPr>
            <w:tcW w:w="4726" w:type="dxa"/>
            <w:shd w:val="clear" w:color="auto" w:fill="auto"/>
            <w:vAlign w:val="center"/>
          </w:tcPr>
          <w:p w:rsidR="003C564F" w:rsidRPr="003B6B97" w:rsidRDefault="003C564F" w:rsidP="00066312">
            <w:pPr>
              <w:spacing w:before="120" w:after="120"/>
            </w:pPr>
            <w:r>
              <w:rPr>
                <w:noProof/>
                <w:color w:val="372C74"/>
                <w:lang w:eastAsia="cs-CZ" w:bidi="ar-SA"/>
              </w:rPr>
              <w:drawing>
                <wp:inline distT="0" distB="0" distL="0" distR="0">
                  <wp:extent cx="2676525" cy="2990850"/>
                  <wp:effectExtent l="19050" t="0" r="9525" b="0"/>
                  <wp:docPr id="92"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7"/>
                          <pic:cNvPicPr>
                            <a:picLocks noChangeAspect="1" noChangeArrowheads="1"/>
                          </pic:cNvPicPr>
                        </pic:nvPicPr>
                        <pic:blipFill>
                          <a:blip r:embed="rId36"/>
                          <a:srcRect/>
                          <a:stretch>
                            <a:fillRect/>
                          </a:stretch>
                        </pic:blipFill>
                        <pic:spPr bwMode="auto">
                          <a:xfrm>
                            <a:off x="0" y="0"/>
                            <a:ext cx="2676525" cy="2990850"/>
                          </a:xfrm>
                          <a:prstGeom prst="rect">
                            <a:avLst/>
                          </a:prstGeom>
                          <a:noFill/>
                          <a:ln w="9525">
                            <a:noFill/>
                            <a:miter lim="800000"/>
                            <a:headEnd/>
                            <a:tailEnd/>
                          </a:ln>
                        </pic:spPr>
                      </pic:pic>
                    </a:graphicData>
                  </a:graphic>
                </wp:inline>
              </w:drawing>
            </w:r>
          </w:p>
        </w:tc>
        <w:tc>
          <w:tcPr>
            <w:tcW w:w="4726" w:type="dxa"/>
            <w:shd w:val="clear" w:color="auto" w:fill="auto"/>
            <w:vAlign w:val="center"/>
          </w:tcPr>
          <w:p w:rsidR="003C564F" w:rsidRPr="003B6B97" w:rsidRDefault="003C564F" w:rsidP="00066312">
            <w:pPr>
              <w:spacing w:before="120" w:after="120"/>
            </w:pPr>
            <w:r>
              <w:rPr>
                <w:noProof/>
                <w:lang w:eastAsia="cs-CZ" w:bidi="ar-SA"/>
              </w:rPr>
              <w:drawing>
                <wp:inline distT="0" distB="0" distL="0" distR="0">
                  <wp:extent cx="2667000" cy="2990850"/>
                  <wp:effectExtent l="19050" t="0" r="0" b="0"/>
                  <wp:docPr id="91"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0"/>
                          <pic:cNvPicPr>
                            <a:picLocks noChangeAspect="1" noChangeArrowheads="1"/>
                          </pic:cNvPicPr>
                        </pic:nvPicPr>
                        <pic:blipFill>
                          <a:blip r:embed="rId37"/>
                          <a:srcRect/>
                          <a:stretch>
                            <a:fillRect/>
                          </a:stretch>
                        </pic:blipFill>
                        <pic:spPr bwMode="auto">
                          <a:xfrm>
                            <a:off x="0" y="0"/>
                            <a:ext cx="2667000" cy="2990850"/>
                          </a:xfrm>
                          <a:prstGeom prst="rect">
                            <a:avLst/>
                          </a:prstGeom>
                          <a:noFill/>
                          <a:ln w="9525">
                            <a:noFill/>
                            <a:miter lim="800000"/>
                            <a:headEnd/>
                            <a:tailEnd/>
                          </a:ln>
                        </pic:spPr>
                      </pic:pic>
                    </a:graphicData>
                  </a:graphic>
                </wp:inline>
              </w:drawing>
            </w:r>
          </w:p>
        </w:tc>
      </w:tr>
    </w:tbl>
    <w:p w:rsidR="003C564F" w:rsidRPr="003B6B97" w:rsidRDefault="003C564F" w:rsidP="003C564F">
      <w:pPr>
        <w:spacing w:before="0"/>
        <w:rPr>
          <w:sz w:val="16"/>
          <w:szCs w:val="16"/>
        </w:rPr>
      </w:pPr>
      <w:r w:rsidRPr="003B6B97">
        <w:rPr>
          <w:sz w:val="16"/>
          <w:szCs w:val="16"/>
        </w:rPr>
        <w:t>Zdroj: Český hydrometeorologický ústav</w:t>
      </w:r>
    </w:p>
    <w:p w:rsidR="003C564F" w:rsidRPr="001B3CEE" w:rsidRDefault="004668D5" w:rsidP="003C564F">
      <w:pPr>
        <w:spacing w:before="120" w:after="120"/>
      </w:pPr>
      <w:r w:rsidRPr="001B3CEE">
        <w:t>Průměrné koncentrace prachových částic ve městě v období 20</w:t>
      </w:r>
      <w:r>
        <w:t>12</w:t>
      </w:r>
      <w:r w:rsidRPr="001B3CEE">
        <w:t xml:space="preserve"> až 201</w:t>
      </w:r>
      <w:r>
        <w:t>6</w:t>
      </w:r>
      <w:r w:rsidRPr="001B3CEE">
        <w:t xml:space="preserve"> se pohybovaly </w:t>
      </w:r>
      <w:r>
        <w:t>hluboko pod úrovní imisních limitů</w:t>
      </w:r>
      <w:r w:rsidRPr="001B3CEE">
        <w:t xml:space="preserve">. </w:t>
      </w:r>
      <w:r>
        <w:t>Prachové částice velikostní frakce PM</w:t>
      </w:r>
      <w:r w:rsidRPr="00B65BC3">
        <w:rPr>
          <w:vertAlign w:val="subscript"/>
        </w:rPr>
        <w:t>10</w:t>
      </w:r>
      <w:r>
        <w:t>, které jsou v ČR nejčastěji diskutovány a jejichž limitní hodnoty jsou na mnoha místech překračovány, zde nepředstavují dlouhodobý problém, zjištěné hodnoty zde jsou podlimitní. Pětileté průměrné roční koncentrace PM</w:t>
      </w:r>
      <w:r w:rsidRPr="00B65BC3">
        <w:rPr>
          <w:vertAlign w:val="subscript"/>
        </w:rPr>
        <w:t>10</w:t>
      </w:r>
      <w:r>
        <w:t xml:space="preserve"> za období 2012-2016 jsou zde v rozmezí 12,2 - 19,5 μg.m</w:t>
      </w:r>
      <w:r w:rsidRPr="00B65BC3">
        <w:rPr>
          <w:vertAlign w:val="superscript"/>
        </w:rPr>
        <w:t>-3</w:t>
      </w:r>
      <w:r>
        <w:t xml:space="preserve"> (limit je 40 μg.m</w:t>
      </w:r>
      <w:r w:rsidRPr="00B65BC3">
        <w:rPr>
          <w:vertAlign w:val="superscript"/>
        </w:rPr>
        <w:t>-3</w:t>
      </w:r>
      <w:r>
        <w:t>), v případě 24 hodinových průměrů je 36. nejvyšší hodnota 21,9 - 34 μg.m</w:t>
      </w:r>
      <w:r w:rsidRPr="00B65BC3">
        <w:rPr>
          <w:vertAlign w:val="superscript"/>
        </w:rPr>
        <w:t>-3</w:t>
      </w:r>
      <w:r>
        <w:t xml:space="preserve"> (limit je 50 μg.m</w:t>
      </w:r>
      <w:r w:rsidRPr="00B65BC3">
        <w:rPr>
          <w:vertAlign w:val="superscript"/>
        </w:rPr>
        <w:t>-3</w:t>
      </w:r>
      <w:r>
        <w:t>). Obdobná</w:t>
      </w:r>
      <w:r w:rsidRPr="001B3CEE">
        <w:t xml:space="preserve"> situace byla i v koncentraci oxidu dusíku NO</w:t>
      </w:r>
      <w:r w:rsidRPr="001B3CEE">
        <w:rPr>
          <w:vertAlign w:val="subscript"/>
        </w:rPr>
        <w:t>2</w:t>
      </w:r>
      <w:r w:rsidRPr="001B3CEE">
        <w:t>.</w:t>
      </w:r>
    </w:p>
    <w:tbl>
      <w:tblPr>
        <w:tblW w:w="0" w:type="auto"/>
        <w:tblLook w:val="04A0" w:firstRow="1" w:lastRow="0" w:firstColumn="1" w:lastColumn="0" w:noHBand="0" w:noVBand="1"/>
      </w:tblPr>
      <w:tblGrid>
        <w:gridCol w:w="4726"/>
        <w:gridCol w:w="4726"/>
      </w:tblGrid>
      <w:tr w:rsidR="003C564F" w:rsidRPr="00B47809" w:rsidTr="00066312">
        <w:tc>
          <w:tcPr>
            <w:tcW w:w="4726" w:type="dxa"/>
            <w:shd w:val="clear" w:color="auto" w:fill="auto"/>
          </w:tcPr>
          <w:p w:rsidR="003C564F" w:rsidRPr="007026C2" w:rsidRDefault="001B340A" w:rsidP="00066312">
            <w:pPr>
              <w:spacing w:before="120" w:after="120"/>
              <w:jc w:val="left"/>
            </w:pPr>
            <w:bookmarkStart w:id="105" w:name="_Toc516058989"/>
            <w:r w:rsidRPr="00F42013">
              <w:rPr>
                <w:rFonts w:cs="Arial-ItalicMT" w:hint="eastAsia"/>
                <w:b/>
                <w:bCs/>
                <w:iCs/>
                <w:color w:val="372C74"/>
                <w:spacing w:val="10"/>
                <w:sz w:val="18"/>
                <w:szCs w:val="22"/>
              </w:rPr>
              <w:lastRenderedPageBreak/>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24</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Pětileté průměrné roční koncentrace PM</w:t>
            </w:r>
            <w:r w:rsidR="003C564F" w:rsidRPr="007026C2">
              <w:rPr>
                <w:sz w:val="18"/>
                <w:szCs w:val="18"/>
                <w:vertAlign w:val="subscript"/>
              </w:rPr>
              <w:t>10</w:t>
            </w:r>
            <w:r w:rsidR="003C564F" w:rsidRPr="007026C2">
              <w:rPr>
                <w:sz w:val="18"/>
                <w:szCs w:val="18"/>
              </w:rPr>
              <w:t xml:space="preserve"> (2012-2016)</w:t>
            </w:r>
            <w:bookmarkEnd w:id="105"/>
          </w:p>
        </w:tc>
        <w:tc>
          <w:tcPr>
            <w:tcW w:w="4726" w:type="dxa"/>
            <w:shd w:val="clear" w:color="auto" w:fill="auto"/>
          </w:tcPr>
          <w:p w:rsidR="003C564F" w:rsidRPr="007026C2" w:rsidRDefault="001B340A" w:rsidP="00066312">
            <w:pPr>
              <w:spacing w:before="120" w:after="120"/>
              <w:jc w:val="left"/>
              <w:rPr>
                <w:rFonts w:ascii="Cambria Math" w:hAnsi="Cambria Math" w:hint="eastAsia"/>
              </w:rPr>
            </w:pPr>
            <w:bookmarkStart w:id="106" w:name="_Toc516058990"/>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25</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Pětileté průměrné 24 hodinové koncentrace PM</w:t>
            </w:r>
            <w:r w:rsidR="003C564F" w:rsidRPr="007026C2">
              <w:rPr>
                <w:rFonts w:cs="Arial-ItalicMT"/>
                <w:iCs/>
                <w:sz w:val="18"/>
                <w:szCs w:val="18"/>
                <w:vertAlign w:val="subscript"/>
              </w:rPr>
              <w:t>10</w:t>
            </w:r>
            <w:r w:rsidR="003C564F" w:rsidRPr="007026C2">
              <w:rPr>
                <w:rFonts w:cs="Arial-ItalicMT"/>
                <w:iCs/>
                <w:sz w:val="18"/>
                <w:szCs w:val="18"/>
              </w:rPr>
              <w:t xml:space="preserve"> (36. nejvyšší dosažená hodnota) (2012-2016)</w:t>
            </w:r>
            <w:bookmarkEnd w:id="106"/>
            <w:r w:rsidR="003C564F" w:rsidRPr="007026C2">
              <w:rPr>
                <w:rFonts w:cs="Arial-ItalicMT"/>
                <w:iCs/>
                <w:sz w:val="18"/>
                <w:szCs w:val="18"/>
              </w:rPr>
              <w:t xml:space="preserve"> </w:t>
            </w:r>
          </w:p>
        </w:tc>
      </w:tr>
      <w:tr w:rsidR="003C564F" w:rsidRPr="00B47809" w:rsidTr="00066312">
        <w:trPr>
          <w:trHeight w:val="3392"/>
        </w:trPr>
        <w:tc>
          <w:tcPr>
            <w:tcW w:w="4726" w:type="dxa"/>
            <w:shd w:val="clear" w:color="auto" w:fill="auto"/>
            <w:vAlign w:val="center"/>
          </w:tcPr>
          <w:p w:rsidR="003C564F" w:rsidRPr="00B47809" w:rsidRDefault="003C564F" w:rsidP="00066312">
            <w:pPr>
              <w:spacing w:before="120" w:after="120"/>
            </w:pPr>
            <w:r>
              <w:rPr>
                <w:noProof/>
                <w:color w:val="372C74"/>
                <w:lang w:eastAsia="cs-CZ" w:bidi="ar-SA"/>
              </w:rPr>
              <w:drawing>
                <wp:inline distT="0" distB="0" distL="0" distR="0">
                  <wp:extent cx="2771775" cy="3095625"/>
                  <wp:effectExtent l="19050" t="0" r="9525" b="0"/>
                  <wp:docPr id="90"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2"/>
                          <pic:cNvPicPr>
                            <a:picLocks noChangeAspect="1" noChangeArrowheads="1"/>
                          </pic:cNvPicPr>
                        </pic:nvPicPr>
                        <pic:blipFill>
                          <a:blip r:embed="rId38"/>
                          <a:srcRect/>
                          <a:stretch>
                            <a:fillRect/>
                          </a:stretch>
                        </pic:blipFill>
                        <pic:spPr bwMode="auto">
                          <a:xfrm>
                            <a:off x="0" y="0"/>
                            <a:ext cx="2771775" cy="3095625"/>
                          </a:xfrm>
                          <a:prstGeom prst="rect">
                            <a:avLst/>
                          </a:prstGeom>
                          <a:noFill/>
                          <a:ln w="9525">
                            <a:noFill/>
                            <a:miter lim="800000"/>
                            <a:headEnd/>
                            <a:tailEnd/>
                          </a:ln>
                        </pic:spPr>
                      </pic:pic>
                    </a:graphicData>
                  </a:graphic>
                </wp:inline>
              </w:drawing>
            </w:r>
          </w:p>
        </w:tc>
        <w:tc>
          <w:tcPr>
            <w:tcW w:w="4726" w:type="dxa"/>
            <w:shd w:val="clear" w:color="auto" w:fill="auto"/>
            <w:vAlign w:val="center"/>
          </w:tcPr>
          <w:p w:rsidR="003C564F" w:rsidRPr="00B47809" w:rsidRDefault="003C564F" w:rsidP="00066312">
            <w:pPr>
              <w:spacing w:before="120" w:after="120"/>
            </w:pPr>
            <w:r>
              <w:rPr>
                <w:noProof/>
                <w:lang w:eastAsia="cs-CZ" w:bidi="ar-SA"/>
              </w:rPr>
              <w:drawing>
                <wp:inline distT="0" distB="0" distL="0" distR="0">
                  <wp:extent cx="2771775" cy="3095625"/>
                  <wp:effectExtent l="19050" t="0" r="9525" b="0"/>
                  <wp:docPr id="8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
                          <pic:cNvPicPr>
                            <a:picLocks noChangeAspect="1" noChangeArrowheads="1"/>
                          </pic:cNvPicPr>
                        </pic:nvPicPr>
                        <pic:blipFill>
                          <a:blip r:embed="rId39"/>
                          <a:srcRect/>
                          <a:stretch>
                            <a:fillRect/>
                          </a:stretch>
                        </pic:blipFill>
                        <pic:spPr bwMode="auto">
                          <a:xfrm>
                            <a:off x="0" y="0"/>
                            <a:ext cx="2771775" cy="3095625"/>
                          </a:xfrm>
                          <a:prstGeom prst="rect">
                            <a:avLst/>
                          </a:prstGeom>
                          <a:noFill/>
                          <a:ln w="9525">
                            <a:noFill/>
                            <a:miter lim="800000"/>
                            <a:headEnd/>
                            <a:tailEnd/>
                          </a:ln>
                        </pic:spPr>
                      </pic:pic>
                    </a:graphicData>
                  </a:graphic>
                </wp:inline>
              </w:drawing>
            </w:r>
          </w:p>
        </w:tc>
      </w:tr>
    </w:tbl>
    <w:p w:rsidR="003C564F" w:rsidRPr="00B47809" w:rsidRDefault="003C564F" w:rsidP="003C564F">
      <w:pPr>
        <w:spacing w:before="0"/>
        <w:rPr>
          <w:sz w:val="16"/>
          <w:szCs w:val="16"/>
        </w:rPr>
      </w:pPr>
      <w:r w:rsidRPr="00B47809">
        <w:rPr>
          <w:sz w:val="16"/>
          <w:szCs w:val="16"/>
        </w:rPr>
        <w:t>Zdroj: Český hydrometeorologický ústav</w:t>
      </w:r>
    </w:p>
    <w:p w:rsidR="004668D5" w:rsidRDefault="004668D5" w:rsidP="004668D5">
      <w:pPr>
        <w:spacing w:before="120" w:after="120"/>
      </w:pPr>
      <w:r w:rsidRPr="00B65BC3">
        <w:t>Kvalita ovzduší v</w:t>
      </w:r>
      <w:r>
        <w:t> samotném</w:t>
      </w:r>
      <w:r w:rsidRPr="00B65BC3">
        <w:t xml:space="preserve"> městě je </w:t>
      </w:r>
      <w:r>
        <w:t xml:space="preserve">závislá na konkrétních meteorologických podmínkách a na přítomnosti jednotlivých zdrojů znečištění. V konkrétních situacích (zejména v zimním období) zde může být imisní situace zhoršená, zejména vlivem </w:t>
      </w:r>
      <w:r w:rsidRPr="00B65BC3">
        <w:t>lokálních topenišť</w:t>
      </w:r>
      <w:r>
        <w:t xml:space="preserve"> a dopravy. </w:t>
      </w:r>
    </w:p>
    <w:p w:rsidR="004668D5" w:rsidRDefault="004668D5" w:rsidP="004668D5">
      <w:pPr>
        <w:spacing w:before="120" w:after="120"/>
      </w:pPr>
      <w:r>
        <w:t xml:space="preserve">Velké zdroje znečišťování ovzduší na území obce Ostrov jsou PAPOS, NEMOS a Ostrovská teplárenská. (dle ÚAP, 2016). Významný vliv, tj. myšleno pozitivní, na kvalitu ovzduší ve městě má skutečnost, že velký podíl domů a objektů v hlavní části města je napojen na systém centrálního zásobování teplem, který provozuje </w:t>
      </w:r>
      <w:r w:rsidRPr="00014333">
        <w:t>Ostrovská teplárenská a.s.</w:t>
      </w:r>
      <w:r>
        <w:t xml:space="preserve"> I z tohoto důvodu je zájmem města, který je vlastníkem, tento stav zachovat, udržovat a v rámci možností rozvíjet. Naopak rizikem z hlediska emisí znečišťujících látek do ovzduší je odpojování objektů. </w:t>
      </w:r>
    </w:p>
    <w:p w:rsidR="004668D5" w:rsidRDefault="004668D5" w:rsidP="004668D5">
      <w:pPr>
        <w:spacing w:before="120" w:after="120"/>
      </w:pPr>
      <w:r>
        <w:t>Město zřídilo Program finanční podpory na změnu vytápění ve městě Ostrov. Ten je určen na:</w:t>
      </w:r>
    </w:p>
    <w:p w:rsidR="004668D5" w:rsidRDefault="004668D5" w:rsidP="006164A0">
      <w:pPr>
        <w:pStyle w:val="Odstavecseseznamem"/>
        <w:numPr>
          <w:ilvl w:val="0"/>
          <w:numId w:val="7"/>
        </w:numPr>
        <w:spacing w:before="120" w:after="120"/>
      </w:pPr>
      <w:r>
        <w:t>na výměnu dnes již nevyhovujících kotlů na tuhá paliva s ručním podáváním za nové účinné nízkoemisní tepelné zdroje</w:t>
      </w:r>
    </w:p>
    <w:p w:rsidR="004668D5" w:rsidRDefault="004668D5" w:rsidP="006164A0">
      <w:pPr>
        <w:pStyle w:val="Odstavecseseznamem"/>
        <w:numPr>
          <w:ilvl w:val="0"/>
          <w:numId w:val="7"/>
        </w:numPr>
        <w:spacing w:before="120" w:after="120"/>
      </w:pPr>
      <w:r>
        <w:t>na  vylepšení stávajícího nízkoemisního vytápění rozšířením o další alternativní ekologické vytápění</w:t>
      </w:r>
    </w:p>
    <w:p w:rsidR="004668D5" w:rsidRDefault="004668D5" w:rsidP="00E66863"/>
    <w:p w:rsidR="00E66863" w:rsidRDefault="00E66863" w:rsidP="00E66863"/>
    <w:p w:rsidR="004668D5" w:rsidRDefault="004668D5" w:rsidP="00E66863"/>
    <w:p w:rsidR="003C564F" w:rsidRPr="00756A5B" w:rsidRDefault="003C564F" w:rsidP="003C564F">
      <w:pPr>
        <w:pStyle w:val="Nadpis6"/>
      </w:pPr>
      <w:r w:rsidRPr="00756A5B">
        <w:lastRenderedPageBreak/>
        <w:t>Vodní hospodářství</w:t>
      </w:r>
    </w:p>
    <w:p w:rsidR="003C564F" w:rsidRPr="003B0A9B" w:rsidRDefault="003C564F" w:rsidP="003C564F">
      <w:pPr>
        <w:pStyle w:val="Nadpis7"/>
        <w:rPr>
          <w:b/>
          <w:color w:val="auto"/>
          <w:sz w:val="20"/>
          <w:szCs w:val="20"/>
        </w:rPr>
      </w:pPr>
      <w:r w:rsidRPr="003B0A9B">
        <w:rPr>
          <w:b/>
          <w:color w:val="auto"/>
          <w:sz w:val="20"/>
          <w:szCs w:val="20"/>
        </w:rPr>
        <w:t>Kvalita vod</w:t>
      </w:r>
    </w:p>
    <w:p w:rsidR="003C564F" w:rsidRDefault="003C564F" w:rsidP="003C564F">
      <w:pPr>
        <w:spacing w:before="0"/>
        <w:rPr>
          <w:rFonts w:eastAsia="Calibri"/>
          <w:spacing w:val="0"/>
          <w:szCs w:val="22"/>
          <w:lang w:eastAsia="cs-CZ" w:bidi="ar-SA"/>
        </w:rPr>
      </w:pPr>
      <w:r w:rsidRPr="001D2095">
        <w:rPr>
          <w:rFonts w:eastAsia="Calibri"/>
          <w:spacing w:val="0"/>
          <w:szCs w:val="22"/>
          <w:lang w:eastAsia="cs-CZ" w:bidi="ar-SA"/>
        </w:rPr>
        <w:t xml:space="preserve">K hodnocení kvality vod je možno využít klasifikaci, která je provedena v rámci Plánů dílčích povodí. </w:t>
      </w:r>
      <w:r w:rsidRPr="00511F44">
        <w:rPr>
          <w:rFonts w:eastAsia="Calibri"/>
          <w:spacing w:val="0"/>
          <w:szCs w:val="22"/>
          <w:lang w:eastAsia="cs-CZ" w:bidi="ar-SA"/>
        </w:rPr>
        <w:t>V případě povrchových vod se sleduje chemický stav (tzv. prioritní látky) a stav ekologický (biologické složky,</w:t>
      </w:r>
      <w:r>
        <w:rPr>
          <w:rFonts w:eastAsia="Calibri"/>
          <w:spacing w:val="0"/>
          <w:szCs w:val="22"/>
          <w:lang w:eastAsia="cs-CZ" w:bidi="ar-SA"/>
        </w:rPr>
        <w:t xml:space="preserve"> </w:t>
      </w:r>
      <w:r w:rsidRPr="00511F44">
        <w:rPr>
          <w:rFonts w:eastAsia="Calibri"/>
          <w:spacing w:val="0"/>
          <w:szCs w:val="22"/>
          <w:lang w:eastAsia="cs-CZ" w:bidi="ar-SA"/>
        </w:rPr>
        <w:t>hydromorfologie a některé fyzikálně-chemické a chemické parametry).</w:t>
      </w:r>
      <w:r>
        <w:rPr>
          <w:rFonts w:eastAsia="Calibri"/>
          <w:spacing w:val="0"/>
          <w:szCs w:val="22"/>
          <w:lang w:eastAsia="cs-CZ" w:bidi="ar-SA"/>
        </w:rPr>
        <w:t xml:space="preserve"> V případě podzemních vod je hodnocen chemický a kvantitativní stav. </w:t>
      </w:r>
    </w:p>
    <w:p w:rsidR="003C564F" w:rsidRDefault="003C564F" w:rsidP="003C564F">
      <w:pPr>
        <w:spacing w:before="0"/>
        <w:rPr>
          <w:rFonts w:eastAsia="Calibri"/>
          <w:spacing w:val="0"/>
          <w:szCs w:val="22"/>
          <w:lang w:eastAsia="cs-CZ" w:bidi="ar-SA"/>
        </w:rPr>
      </w:pPr>
      <w:r w:rsidRPr="001D2095">
        <w:rPr>
          <w:rFonts w:eastAsia="Calibri"/>
          <w:spacing w:val="0"/>
          <w:szCs w:val="22"/>
          <w:lang w:eastAsia="cs-CZ" w:bidi="ar-SA"/>
        </w:rPr>
        <w:t xml:space="preserve">Na území </w:t>
      </w:r>
      <w:r>
        <w:rPr>
          <w:rFonts w:eastAsia="Calibri"/>
          <w:spacing w:val="0"/>
          <w:szCs w:val="22"/>
          <w:lang w:eastAsia="cs-CZ" w:bidi="ar-SA"/>
        </w:rPr>
        <w:t xml:space="preserve">města Ostrov </w:t>
      </w:r>
      <w:r w:rsidRPr="001D2095">
        <w:rPr>
          <w:rFonts w:eastAsia="Calibri"/>
          <w:spacing w:val="0"/>
          <w:szCs w:val="22"/>
          <w:lang w:eastAsia="cs-CZ" w:bidi="ar-SA"/>
        </w:rPr>
        <w:t xml:space="preserve">je </w:t>
      </w:r>
      <w:r>
        <w:rPr>
          <w:rFonts w:eastAsia="Calibri"/>
          <w:spacing w:val="0"/>
          <w:szCs w:val="22"/>
          <w:lang w:eastAsia="cs-CZ" w:bidi="ar-SA"/>
        </w:rPr>
        <w:t>pět</w:t>
      </w:r>
      <w:r w:rsidRPr="001D2095">
        <w:rPr>
          <w:rFonts w:eastAsia="Calibri"/>
          <w:spacing w:val="0"/>
          <w:szCs w:val="22"/>
          <w:lang w:eastAsia="cs-CZ" w:bidi="ar-SA"/>
        </w:rPr>
        <w:t xml:space="preserve"> útvarů </w:t>
      </w:r>
      <w:r w:rsidRPr="001D2095">
        <w:rPr>
          <w:rFonts w:eastAsia="Calibri"/>
          <w:b/>
          <w:spacing w:val="0"/>
          <w:szCs w:val="22"/>
          <w:lang w:eastAsia="cs-CZ" w:bidi="ar-SA"/>
        </w:rPr>
        <w:t>povrchových vod</w:t>
      </w:r>
      <w:r w:rsidRPr="001D2095">
        <w:rPr>
          <w:rFonts w:eastAsia="Calibri"/>
          <w:spacing w:val="0"/>
          <w:szCs w:val="22"/>
          <w:lang w:eastAsia="cs-CZ" w:bidi="ar-SA"/>
        </w:rPr>
        <w:t xml:space="preserve">, z toho pouze </w:t>
      </w:r>
      <w:r>
        <w:rPr>
          <w:rFonts w:eastAsia="Calibri"/>
          <w:spacing w:val="0"/>
          <w:szCs w:val="22"/>
          <w:lang w:eastAsia="cs-CZ" w:bidi="ar-SA"/>
        </w:rPr>
        <w:t>dva dosahují dobrého chemického stavu, ostatní kritériím</w:t>
      </w:r>
      <w:r w:rsidRPr="001D2095">
        <w:rPr>
          <w:rFonts w:eastAsia="Calibri"/>
          <w:spacing w:val="0"/>
          <w:szCs w:val="22"/>
          <w:lang w:eastAsia="cs-CZ" w:bidi="ar-SA"/>
        </w:rPr>
        <w:t xml:space="preserve"> </w:t>
      </w:r>
      <w:r>
        <w:rPr>
          <w:rFonts w:eastAsia="Calibri"/>
          <w:spacing w:val="0"/>
          <w:szCs w:val="22"/>
          <w:lang w:eastAsia="cs-CZ" w:bidi="ar-SA"/>
        </w:rPr>
        <w:t xml:space="preserve">nevyhovují </w:t>
      </w:r>
      <w:r w:rsidRPr="001D2095">
        <w:rPr>
          <w:rFonts w:eastAsia="Calibri"/>
          <w:spacing w:val="0"/>
          <w:szCs w:val="22"/>
          <w:lang w:eastAsia="cs-CZ" w:bidi="ar-SA"/>
        </w:rPr>
        <w:t xml:space="preserve">a to z důvodu </w:t>
      </w:r>
      <w:r>
        <w:rPr>
          <w:rFonts w:eastAsia="Calibri"/>
          <w:spacing w:val="0"/>
          <w:szCs w:val="22"/>
          <w:lang w:eastAsia="cs-CZ" w:bidi="ar-SA"/>
        </w:rPr>
        <w:t xml:space="preserve">nadlimitních </w:t>
      </w:r>
      <w:r w:rsidRPr="001D2095">
        <w:rPr>
          <w:rFonts w:eastAsia="Calibri"/>
          <w:spacing w:val="0"/>
          <w:szCs w:val="22"/>
          <w:lang w:eastAsia="cs-CZ" w:bidi="ar-SA"/>
        </w:rPr>
        <w:t>koncentrací polycykl</w:t>
      </w:r>
      <w:r>
        <w:rPr>
          <w:rFonts w:eastAsia="Calibri"/>
          <w:spacing w:val="0"/>
          <w:szCs w:val="22"/>
          <w:lang w:eastAsia="cs-CZ" w:bidi="ar-SA"/>
        </w:rPr>
        <w:t>ických aromatických uhlovodíků a těžkých kovů (Cd, Ni, Hg). Ekologický stav/potenciál je u všech útvarů povrchových vod střední.</w:t>
      </w:r>
    </w:p>
    <w:p w:rsidR="003C564F" w:rsidRDefault="003C564F" w:rsidP="003C564F">
      <w:pPr>
        <w:spacing w:before="0"/>
        <w:rPr>
          <w:rFonts w:eastAsia="Calibri"/>
          <w:spacing w:val="0"/>
          <w:szCs w:val="22"/>
          <w:lang w:eastAsia="cs-CZ" w:bidi="ar-SA"/>
        </w:rPr>
      </w:pPr>
      <w:r>
        <w:rPr>
          <w:rFonts w:eastAsia="Calibri"/>
          <w:spacing w:val="0"/>
          <w:szCs w:val="22"/>
          <w:lang w:eastAsia="cs-CZ" w:bidi="ar-SA"/>
        </w:rPr>
        <w:t xml:space="preserve">Dále zde jsou dva útvary podzemních vod (ID 21200 – Sokolovská pánev a ID 61200 - </w:t>
      </w:r>
      <w:r w:rsidRPr="002A5536">
        <w:rPr>
          <w:rFonts w:eastAsia="Calibri"/>
          <w:spacing w:val="0"/>
          <w:szCs w:val="22"/>
          <w:lang w:eastAsia="cs-CZ" w:bidi="ar-SA"/>
        </w:rPr>
        <w:t>Krystalinikum v mezipovodí Ohře po Kadaň</w:t>
      </w:r>
      <w:r>
        <w:rPr>
          <w:rFonts w:eastAsia="Calibri"/>
          <w:spacing w:val="0"/>
          <w:szCs w:val="22"/>
          <w:lang w:eastAsia="cs-CZ" w:bidi="ar-SA"/>
        </w:rPr>
        <w:t>). Chemický stav je nevyhovující v případě Sokolovské pánve, navíc se jedná o útvar se vzestupným trendem znečišťujících látek. Kvantitativní stav je vyhovující u obou uvedených útvarů.</w:t>
      </w:r>
    </w:p>
    <w:tbl>
      <w:tblPr>
        <w:tblW w:w="0" w:type="auto"/>
        <w:tblLook w:val="04A0" w:firstRow="1" w:lastRow="0" w:firstColumn="1" w:lastColumn="0" w:noHBand="0" w:noVBand="1"/>
      </w:tblPr>
      <w:tblGrid>
        <w:gridCol w:w="4823"/>
        <w:gridCol w:w="4705"/>
      </w:tblGrid>
      <w:tr w:rsidR="003C564F" w:rsidRPr="00B47809" w:rsidTr="00066312">
        <w:tc>
          <w:tcPr>
            <w:tcW w:w="4726" w:type="dxa"/>
            <w:shd w:val="clear" w:color="auto" w:fill="auto"/>
          </w:tcPr>
          <w:p w:rsidR="003C564F" w:rsidRPr="007026C2" w:rsidRDefault="001B340A" w:rsidP="00066312">
            <w:pPr>
              <w:spacing w:before="120" w:after="120"/>
              <w:jc w:val="left"/>
            </w:pPr>
            <w:bookmarkStart w:id="107" w:name="_Toc516058991"/>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26</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Útvary povrchových vod s nevyhovujícím chemickým stavem</w:t>
            </w:r>
            <w:r w:rsidR="003C564F" w:rsidRPr="007026C2">
              <w:rPr>
                <w:rStyle w:val="Znakapoznpodarou"/>
                <w:sz w:val="18"/>
                <w:szCs w:val="18"/>
              </w:rPr>
              <w:footnoteReference w:id="15"/>
            </w:r>
            <w:bookmarkEnd w:id="107"/>
          </w:p>
        </w:tc>
        <w:tc>
          <w:tcPr>
            <w:tcW w:w="4726" w:type="dxa"/>
            <w:shd w:val="clear" w:color="auto" w:fill="auto"/>
          </w:tcPr>
          <w:p w:rsidR="003C564F" w:rsidRPr="007026C2" w:rsidRDefault="001B340A" w:rsidP="00066312">
            <w:pPr>
              <w:spacing w:before="120" w:after="120"/>
              <w:jc w:val="left"/>
              <w:rPr>
                <w:rFonts w:ascii="Cambria Math" w:hAnsi="Cambria Math" w:hint="eastAsia"/>
              </w:rPr>
            </w:pPr>
            <w:bookmarkStart w:id="108" w:name="_Toc516058992"/>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27</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Útvary podzemních vod s nevyhovujícím chemickým stavem</w:t>
            </w:r>
            <w:r w:rsidR="003C564F" w:rsidRPr="007026C2">
              <w:rPr>
                <w:rStyle w:val="Znakapoznpodarou"/>
                <w:sz w:val="18"/>
                <w:szCs w:val="18"/>
              </w:rPr>
              <w:footnoteReference w:id="16"/>
            </w:r>
            <w:bookmarkEnd w:id="108"/>
          </w:p>
        </w:tc>
      </w:tr>
      <w:tr w:rsidR="003C564F" w:rsidRPr="00B47809" w:rsidTr="00066312">
        <w:trPr>
          <w:trHeight w:val="3392"/>
        </w:trPr>
        <w:tc>
          <w:tcPr>
            <w:tcW w:w="4726" w:type="dxa"/>
            <w:shd w:val="clear" w:color="auto" w:fill="auto"/>
            <w:vAlign w:val="center"/>
          </w:tcPr>
          <w:p w:rsidR="003C564F" w:rsidRPr="00B47809" w:rsidRDefault="003C564F" w:rsidP="00066312">
            <w:pPr>
              <w:spacing w:before="120" w:after="120"/>
            </w:pPr>
            <w:r>
              <w:rPr>
                <w:noProof/>
                <w:color w:val="372C74"/>
                <w:lang w:eastAsia="cs-CZ" w:bidi="ar-SA"/>
              </w:rPr>
              <w:drawing>
                <wp:inline distT="0" distB="0" distL="0" distR="0">
                  <wp:extent cx="2943225" cy="3095625"/>
                  <wp:effectExtent l="19050" t="0" r="9525" b="0"/>
                  <wp:docPr id="87"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5"/>
                          <pic:cNvPicPr>
                            <a:picLocks noChangeAspect="1" noChangeArrowheads="1"/>
                          </pic:cNvPicPr>
                        </pic:nvPicPr>
                        <pic:blipFill>
                          <a:blip r:embed="rId40"/>
                          <a:srcRect/>
                          <a:stretch>
                            <a:fillRect/>
                          </a:stretch>
                        </pic:blipFill>
                        <pic:spPr bwMode="auto">
                          <a:xfrm>
                            <a:off x="0" y="0"/>
                            <a:ext cx="2943225" cy="3095625"/>
                          </a:xfrm>
                          <a:prstGeom prst="rect">
                            <a:avLst/>
                          </a:prstGeom>
                          <a:noFill/>
                          <a:ln w="9525">
                            <a:noFill/>
                            <a:miter lim="800000"/>
                            <a:headEnd/>
                            <a:tailEnd/>
                          </a:ln>
                        </pic:spPr>
                      </pic:pic>
                    </a:graphicData>
                  </a:graphic>
                </wp:inline>
              </w:drawing>
            </w:r>
          </w:p>
        </w:tc>
        <w:tc>
          <w:tcPr>
            <w:tcW w:w="4726" w:type="dxa"/>
            <w:shd w:val="clear" w:color="auto" w:fill="auto"/>
            <w:vAlign w:val="center"/>
          </w:tcPr>
          <w:p w:rsidR="003C564F" w:rsidRPr="00B47809" w:rsidRDefault="003C564F" w:rsidP="00066312">
            <w:pPr>
              <w:spacing w:before="120" w:after="120"/>
            </w:pPr>
            <w:r>
              <w:rPr>
                <w:noProof/>
                <w:lang w:eastAsia="cs-CZ" w:bidi="ar-SA"/>
              </w:rPr>
              <w:drawing>
                <wp:inline distT="0" distB="0" distL="0" distR="0">
                  <wp:extent cx="2876550" cy="3095625"/>
                  <wp:effectExtent l="19050" t="0" r="0" b="0"/>
                  <wp:docPr id="85"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8"/>
                          <pic:cNvPicPr>
                            <a:picLocks noChangeAspect="1" noChangeArrowheads="1"/>
                          </pic:cNvPicPr>
                        </pic:nvPicPr>
                        <pic:blipFill>
                          <a:blip r:embed="rId41"/>
                          <a:srcRect/>
                          <a:stretch>
                            <a:fillRect/>
                          </a:stretch>
                        </pic:blipFill>
                        <pic:spPr bwMode="auto">
                          <a:xfrm>
                            <a:off x="0" y="0"/>
                            <a:ext cx="2876550" cy="3095625"/>
                          </a:xfrm>
                          <a:prstGeom prst="rect">
                            <a:avLst/>
                          </a:prstGeom>
                          <a:noFill/>
                          <a:ln w="9525">
                            <a:noFill/>
                            <a:miter lim="800000"/>
                            <a:headEnd/>
                            <a:tailEnd/>
                          </a:ln>
                        </pic:spPr>
                      </pic:pic>
                    </a:graphicData>
                  </a:graphic>
                </wp:inline>
              </w:drawing>
            </w:r>
          </w:p>
        </w:tc>
      </w:tr>
    </w:tbl>
    <w:p w:rsidR="003C564F" w:rsidRPr="00B47809" w:rsidRDefault="003C564F" w:rsidP="003C564F">
      <w:pPr>
        <w:spacing w:before="0"/>
        <w:rPr>
          <w:sz w:val="16"/>
          <w:szCs w:val="16"/>
        </w:rPr>
      </w:pPr>
      <w:r w:rsidRPr="00B47809">
        <w:rPr>
          <w:sz w:val="16"/>
          <w:szCs w:val="16"/>
        </w:rPr>
        <w:t xml:space="preserve">Zdroj: </w:t>
      </w:r>
      <w:r>
        <w:rPr>
          <w:sz w:val="16"/>
          <w:szCs w:val="16"/>
        </w:rPr>
        <w:t>Povodí Ohře</w:t>
      </w:r>
    </w:p>
    <w:p w:rsidR="003C564F" w:rsidRPr="00F0228A" w:rsidRDefault="003C564F" w:rsidP="003C564F">
      <w:pPr>
        <w:spacing w:before="0"/>
        <w:rPr>
          <w:rFonts w:eastAsia="Calibri"/>
          <w:spacing w:val="0"/>
          <w:szCs w:val="22"/>
          <w:lang w:eastAsia="cs-CZ" w:bidi="ar-SA"/>
        </w:rPr>
      </w:pPr>
    </w:p>
    <w:p w:rsidR="003C564F" w:rsidRPr="00F0228A" w:rsidRDefault="003C564F" w:rsidP="003C564F">
      <w:pPr>
        <w:pStyle w:val="Nadpis7"/>
        <w:rPr>
          <w:b/>
          <w:color w:val="auto"/>
          <w:sz w:val="20"/>
          <w:szCs w:val="20"/>
        </w:rPr>
      </w:pPr>
      <w:r w:rsidRPr="00F0228A">
        <w:rPr>
          <w:b/>
          <w:color w:val="auto"/>
          <w:sz w:val="20"/>
          <w:szCs w:val="20"/>
        </w:rPr>
        <w:lastRenderedPageBreak/>
        <w:t>Ochrana před povodněmi</w:t>
      </w:r>
    </w:p>
    <w:p w:rsidR="004668D5" w:rsidRPr="00F0228A" w:rsidRDefault="004668D5" w:rsidP="004668D5">
      <w:pPr>
        <w:spacing w:before="120" w:after="120"/>
      </w:pPr>
      <w:r w:rsidRPr="00F0228A">
        <w:t>Jako ochrana před povodněmi v prvé řadě slouží opatření preventivního charakteru, kterým je vypracovaný Povodňový plán ORP Ostrov</w:t>
      </w:r>
      <w:r w:rsidRPr="00F0228A">
        <w:rPr>
          <w:rStyle w:val="Znakapoznpodarou"/>
        </w:rPr>
        <w:footnoteReference w:id="17"/>
      </w:r>
      <w:r w:rsidRPr="00F0228A">
        <w:t xml:space="preserve">. </w:t>
      </w:r>
    </w:p>
    <w:p w:rsidR="004668D5" w:rsidRPr="00F0228A" w:rsidRDefault="004668D5" w:rsidP="004668D5">
      <w:pPr>
        <w:spacing w:before="120" w:after="120"/>
      </w:pPr>
      <w:r w:rsidRPr="00F0228A">
        <w:t>Pro město Ostrov jsou stanovena následující záplavová území: Bystřice (v úseku km 9,222 až 19,170</w:t>
      </w:r>
      <w:r>
        <w:t xml:space="preserve">, </w:t>
      </w:r>
      <w:r w:rsidRPr="00F0228A">
        <w:t>8,293 až 9,222</w:t>
      </w:r>
      <w:r>
        <w:t xml:space="preserve"> a </w:t>
      </w:r>
      <w:r w:rsidRPr="00F0228A">
        <w:t>v úseku km 0,000 až 8,455)</w:t>
      </w:r>
      <w:r>
        <w:t xml:space="preserve">, </w:t>
      </w:r>
      <w:r w:rsidRPr="00F0228A">
        <w:t>Jáchymovský potok (v úseku km 1,071 až 1,630</w:t>
      </w:r>
      <w:r>
        <w:t xml:space="preserve"> a </w:t>
      </w:r>
      <w:r w:rsidRPr="00F0228A">
        <w:t>0,000 až 9,500)</w:t>
      </w:r>
      <w:r>
        <w:t xml:space="preserve"> a </w:t>
      </w:r>
      <w:r w:rsidRPr="00F0228A">
        <w:t>Ohře (v úseku km 139,285 až 240,220)</w:t>
      </w:r>
      <w:r>
        <w:t>.</w:t>
      </w:r>
    </w:p>
    <w:p w:rsidR="003C564F" w:rsidRPr="00391319" w:rsidRDefault="001B340A" w:rsidP="003C564F">
      <w:pPr>
        <w:spacing w:before="0" w:after="120" w:line="240" w:lineRule="auto"/>
        <w:rPr>
          <w:sz w:val="18"/>
          <w:szCs w:val="18"/>
        </w:rPr>
      </w:pPr>
      <w:bookmarkStart w:id="109" w:name="_Toc516058993"/>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28</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391319">
        <w:rPr>
          <w:rFonts w:cs="Arial-ItalicMT"/>
          <w:iCs/>
          <w:sz w:val="18"/>
          <w:szCs w:val="18"/>
        </w:rPr>
        <w:t xml:space="preserve">– </w:t>
      </w:r>
      <w:r w:rsidR="003C564F" w:rsidRPr="00391319">
        <w:rPr>
          <w:sz w:val="18"/>
          <w:szCs w:val="18"/>
        </w:rPr>
        <w:t>Aktivní zóny záplavových území pro toky Bystřice a Ohře</w:t>
      </w:r>
      <w:bookmarkEnd w:id="109"/>
    </w:p>
    <w:p w:rsidR="003C564F" w:rsidRPr="00391319" w:rsidRDefault="003C564F" w:rsidP="003C564F">
      <w:pPr>
        <w:spacing w:before="120" w:after="120"/>
      </w:pPr>
      <w:r>
        <w:rPr>
          <w:noProof/>
          <w:lang w:eastAsia="cs-CZ" w:bidi="ar-SA"/>
        </w:rPr>
        <w:drawing>
          <wp:inline distT="0" distB="0" distL="0" distR="0">
            <wp:extent cx="4499339" cy="2753832"/>
            <wp:effectExtent l="19050" t="0" r="0" b="0"/>
            <wp:docPr id="7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42"/>
                    <a:srcRect/>
                    <a:stretch>
                      <a:fillRect/>
                    </a:stretch>
                  </pic:blipFill>
                  <pic:spPr bwMode="auto">
                    <a:xfrm>
                      <a:off x="0" y="0"/>
                      <a:ext cx="4502888" cy="2756004"/>
                    </a:xfrm>
                    <a:prstGeom prst="rect">
                      <a:avLst/>
                    </a:prstGeom>
                    <a:noFill/>
                    <a:ln w="9525">
                      <a:noFill/>
                      <a:miter lim="800000"/>
                      <a:headEnd/>
                      <a:tailEnd/>
                    </a:ln>
                  </pic:spPr>
                </pic:pic>
              </a:graphicData>
            </a:graphic>
          </wp:inline>
        </w:drawing>
      </w:r>
    </w:p>
    <w:p w:rsidR="003C564F" w:rsidRDefault="003C564F" w:rsidP="003C564F">
      <w:pPr>
        <w:spacing w:before="0"/>
        <w:rPr>
          <w:sz w:val="16"/>
          <w:szCs w:val="16"/>
        </w:rPr>
      </w:pPr>
      <w:r w:rsidRPr="00391319">
        <w:rPr>
          <w:sz w:val="16"/>
          <w:szCs w:val="16"/>
        </w:rPr>
        <w:t>Zdroj: ÚAP SO ORP Ostrov</w:t>
      </w:r>
    </w:p>
    <w:p w:rsidR="003C564F" w:rsidRPr="00787A54" w:rsidRDefault="001B340A" w:rsidP="003C564F">
      <w:pPr>
        <w:spacing w:before="0" w:after="120" w:line="240" w:lineRule="auto"/>
        <w:rPr>
          <w:sz w:val="18"/>
          <w:szCs w:val="18"/>
        </w:rPr>
      </w:pPr>
      <w:bookmarkStart w:id="110" w:name="_Toc516058994"/>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29</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87A54">
        <w:rPr>
          <w:rFonts w:cs="Arial-ItalicMT"/>
          <w:iCs/>
          <w:sz w:val="18"/>
          <w:szCs w:val="18"/>
        </w:rPr>
        <w:t xml:space="preserve">– </w:t>
      </w:r>
      <w:r w:rsidR="003C564F" w:rsidRPr="00787A54">
        <w:rPr>
          <w:sz w:val="18"/>
          <w:szCs w:val="18"/>
        </w:rPr>
        <w:t>Záplavové území při Q5, Q20 a Q100 pro toky Bystřice a Ohře</w:t>
      </w:r>
      <w:bookmarkEnd w:id="110"/>
    </w:p>
    <w:p w:rsidR="003C564F" w:rsidRDefault="003C564F" w:rsidP="003C564F">
      <w:pPr>
        <w:spacing w:before="0"/>
        <w:rPr>
          <w:sz w:val="16"/>
          <w:szCs w:val="16"/>
        </w:rPr>
      </w:pPr>
      <w:r>
        <w:rPr>
          <w:noProof/>
          <w:sz w:val="16"/>
          <w:szCs w:val="16"/>
          <w:lang w:eastAsia="cs-CZ" w:bidi="ar-SA"/>
        </w:rPr>
        <w:drawing>
          <wp:inline distT="0" distB="0" distL="0" distR="0">
            <wp:extent cx="4384411" cy="2668772"/>
            <wp:effectExtent l="19050" t="0" r="0" b="0"/>
            <wp:docPr id="49"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a:picLocks noChangeAspect="1" noChangeArrowheads="1"/>
                    </pic:cNvPicPr>
                  </pic:nvPicPr>
                  <pic:blipFill>
                    <a:blip r:embed="rId43"/>
                    <a:srcRect l="3461" t="14322" r="7565" b="3015"/>
                    <a:stretch>
                      <a:fillRect/>
                    </a:stretch>
                  </pic:blipFill>
                  <pic:spPr bwMode="auto">
                    <a:xfrm>
                      <a:off x="0" y="0"/>
                      <a:ext cx="4386999" cy="2670347"/>
                    </a:xfrm>
                    <a:prstGeom prst="rect">
                      <a:avLst/>
                    </a:prstGeom>
                    <a:noFill/>
                    <a:ln w="9525">
                      <a:noFill/>
                      <a:miter lim="800000"/>
                      <a:headEnd/>
                      <a:tailEnd/>
                    </a:ln>
                  </pic:spPr>
                </pic:pic>
              </a:graphicData>
            </a:graphic>
          </wp:inline>
        </w:drawing>
      </w:r>
    </w:p>
    <w:p w:rsidR="003C564F" w:rsidRDefault="003C564F" w:rsidP="003C564F">
      <w:pPr>
        <w:spacing w:before="0"/>
        <w:rPr>
          <w:sz w:val="16"/>
          <w:szCs w:val="16"/>
        </w:rPr>
      </w:pPr>
      <w:r w:rsidRPr="00391319">
        <w:rPr>
          <w:sz w:val="16"/>
          <w:szCs w:val="16"/>
        </w:rPr>
        <w:t>Zdroj: ÚAP SO ORP Ostrov</w:t>
      </w:r>
    </w:p>
    <w:p w:rsidR="003C564F" w:rsidRPr="00391319" w:rsidRDefault="003C564F" w:rsidP="003C564F">
      <w:pPr>
        <w:spacing w:before="0"/>
        <w:rPr>
          <w:sz w:val="16"/>
          <w:szCs w:val="16"/>
        </w:rPr>
      </w:pPr>
    </w:p>
    <w:tbl>
      <w:tblPr>
        <w:tblW w:w="0" w:type="auto"/>
        <w:tblLook w:val="04A0" w:firstRow="1" w:lastRow="0" w:firstColumn="1" w:lastColumn="0" w:noHBand="0" w:noVBand="1"/>
      </w:tblPr>
      <w:tblGrid>
        <w:gridCol w:w="4726"/>
        <w:gridCol w:w="4726"/>
      </w:tblGrid>
      <w:tr w:rsidR="003C564F" w:rsidRPr="00B47809" w:rsidTr="00066312">
        <w:tc>
          <w:tcPr>
            <w:tcW w:w="4726" w:type="dxa"/>
            <w:shd w:val="clear" w:color="auto" w:fill="auto"/>
          </w:tcPr>
          <w:p w:rsidR="003C564F" w:rsidRPr="007026C2" w:rsidRDefault="001B340A" w:rsidP="00066312">
            <w:pPr>
              <w:spacing w:before="120" w:after="120"/>
              <w:jc w:val="left"/>
            </w:pPr>
            <w:bookmarkStart w:id="111" w:name="_Toc516058995"/>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30</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Aktivní zóny záplavových území pro Jáchymovský potok</w:t>
            </w:r>
            <w:bookmarkEnd w:id="111"/>
          </w:p>
        </w:tc>
        <w:tc>
          <w:tcPr>
            <w:tcW w:w="4726" w:type="dxa"/>
            <w:shd w:val="clear" w:color="auto" w:fill="auto"/>
          </w:tcPr>
          <w:p w:rsidR="003C564F" w:rsidRPr="007026C2" w:rsidRDefault="001B340A" w:rsidP="00066312">
            <w:pPr>
              <w:spacing w:before="120" w:after="120"/>
              <w:jc w:val="left"/>
              <w:rPr>
                <w:rFonts w:ascii="Cambria Math" w:hAnsi="Cambria Math" w:hint="eastAsia"/>
              </w:rPr>
            </w:pPr>
            <w:bookmarkStart w:id="112" w:name="_Toc516058996"/>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31</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Záplavové území při Q5, Q20 a Q100 pro Jáchymovský potok</w:t>
            </w:r>
            <w:bookmarkEnd w:id="112"/>
          </w:p>
        </w:tc>
      </w:tr>
      <w:tr w:rsidR="003C564F" w:rsidRPr="00B47809" w:rsidTr="00066312">
        <w:trPr>
          <w:trHeight w:val="3392"/>
        </w:trPr>
        <w:tc>
          <w:tcPr>
            <w:tcW w:w="4726" w:type="dxa"/>
            <w:shd w:val="clear" w:color="auto" w:fill="auto"/>
            <w:vAlign w:val="center"/>
          </w:tcPr>
          <w:p w:rsidR="003C564F" w:rsidRPr="00B47809" w:rsidRDefault="003C564F" w:rsidP="00066312">
            <w:pPr>
              <w:spacing w:before="120" w:after="120"/>
            </w:pPr>
            <w:r>
              <w:rPr>
                <w:noProof/>
                <w:color w:val="372C74"/>
                <w:lang w:eastAsia="cs-CZ" w:bidi="ar-SA"/>
              </w:rPr>
              <w:drawing>
                <wp:inline distT="0" distB="0" distL="0" distR="0">
                  <wp:extent cx="2800350" cy="3095625"/>
                  <wp:effectExtent l="19050" t="0" r="0" b="0"/>
                  <wp:docPr id="46"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44"/>
                          <a:srcRect l="6137" t="2516" r="2657" b="4395"/>
                          <a:stretch>
                            <a:fillRect/>
                          </a:stretch>
                        </pic:blipFill>
                        <pic:spPr bwMode="auto">
                          <a:xfrm>
                            <a:off x="0" y="0"/>
                            <a:ext cx="2800350" cy="3095625"/>
                          </a:xfrm>
                          <a:prstGeom prst="rect">
                            <a:avLst/>
                          </a:prstGeom>
                          <a:noFill/>
                          <a:ln w="9525">
                            <a:noFill/>
                            <a:miter lim="800000"/>
                            <a:headEnd/>
                            <a:tailEnd/>
                          </a:ln>
                        </pic:spPr>
                      </pic:pic>
                    </a:graphicData>
                  </a:graphic>
                </wp:inline>
              </w:drawing>
            </w:r>
          </w:p>
        </w:tc>
        <w:tc>
          <w:tcPr>
            <w:tcW w:w="4726" w:type="dxa"/>
            <w:shd w:val="clear" w:color="auto" w:fill="auto"/>
            <w:vAlign w:val="center"/>
          </w:tcPr>
          <w:p w:rsidR="003C564F" w:rsidRPr="00B47809" w:rsidRDefault="003C564F" w:rsidP="00066312">
            <w:pPr>
              <w:spacing w:before="120" w:after="120"/>
            </w:pPr>
            <w:r>
              <w:rPr>
                <w:noProof/>
                <w:lang w:eastAsia="cs-CZ" w:bidi="ar-SA"/>
              </w:rPr>
              <w:drawing>
                <wp:inline distT="0" distB="0" distL="0" distR="0">
                  <wp:extent cx="2800350" cy="3095625"/>
                  <wp:effectExtent l="19050" t="0" r="0" b="0"/>
                  <wp:docPr id="45"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pic:cNvPicPr>
                            <a:picLocks noChangeAspect="1" noChangeArrowheads="1"/>
                          </pic:cNvPicPr>
                        </pic:nvPicPr>
                        <pic:blipFill>
                          <a:blip r:embed="rId45"/>
                          <a:srcRect/>
                          <a:stretch>
                            <a:fillRect/>
                          </a:stretch>
                        </pic:blipFill>
                        <pic:spPr bwMode="auto">
                          <a:xfrm>
                            <a:off x="0" y="0"/>
                            <a:ext cx="2800350" cy="3095625"/>
                          </a:xfrm>
                          <a:prstGeom prst="rect">
                            <a:avLst/>
                          </a:prstGeom>
                          <a:noFill/>
                          <a:ln w="9525">
                            <a:noFill/>
                            <a:miter lim="800000"/>
                            <a:headEnd/>
                            <a:tailEnd/>
                          </a:ln>
                        </pic:spPr>
                      </pic:pic>
                    </a:graphicData>
                  </a:graphic>
                </wp:inline>
              </w:drawing>
            </w:r>
          </w:p>
        </w:tc>
      </w:tr>
    </w:tbl>
    <w:p w:rsidR="003C564F" w:rsidRPr="00B47809" w:rsidRDefault="003C564F" w:rsidP="003C564F">
      <w:pPr>
        <w:spacing w:before="0"/>
        <w:rPr>
          <w:sz w:val="16"/>
          <w:szCs w:val="16"/>
        </w:rPr>
      </w:pPr>
      <w:r w:rsidRPr="00B47809">
        <w:rPr>
          <w:sz w:val="16"/>
          <w:szCs w:val="16"/>
        </w:rPr>
        <w:t xml:space="preserve">Zdroj: </w:t>
      </w:r>
      <w:r w:rsidRPr="00391319">
        <w:rPr>
          <w:sz w:val="16"/>
          <w:szCs w:val="16"/>
        </w:rPr>
        <w:t>ÚAP SO ORP Ostrov</w:t>
      </w:r>
    </w:p>
    <w:p w:rsidR="004668D5" w:rsidRDefault="004668D5" w:rsidP="004668D5">
      <w:pPr>
        <w:spacing w:before="0" w:after="120" w:line="240" w:lineRule="auto"/>
        <w:rPr>
          <w:rFonts w:cs="Arial-ItalicMT"/>
          <w:bCs/>
          <w:iCs/>
          <w:spacing w:val="10"/>
          <w:szCs w:val="22"/>
        </w:rPr>
      </w:pPr>
      <w:r>
        <w:rPr>
          <w:rFonts w:cs="Arial-ItalicMT"/>
          <w:bCs/>
          <w:iCs/>
          <w:spacing w:val="10"/>
          <w:szCs w:val="22"/>
        </w:rPr>
        <w:t>Povodňové riziko není na území města příliš významné. V záplavových územích se nachází více objektů – např. v místní části Kfely podél toku Bystřice nebo v Dolním Žďáru podél Jáchymovského potoka. Naopak v samotném ostrově je objektů v záplavovém území Q</w:t>
      </w:r>
      <w:r w:rsidRPr="0032393A">
        <w:rPr>
          <w:rFonts w:cs="Arial-ItalicMT"/>
          <w:bCs/>
          <w:iCs/>
          <w:spacing w:val="10"/>
          <w:szCs w:val="22"/>
          <w:vertAlign w:val="subscript"/>
        </w:rPr>
        <w:t>100</w:t>
      </w:r>
      <w:r>
        <w:rPr>
          <w:rFonts w:cs="Arial-ItalicMT"/>
          <w:bCs/>
          <w:iCs/>
          <w:spacing w:val="10"/>
          <w:szCs w:val="22"/>
        </w:rPr>
        <w:t xml:space="preserve"> pouze několik. Stanovená záplavová území lze chápat především jako limit v území, který by měl být při rozvojových záměrech města respektován. </w:t>
      </w:r>
    </w:p>
    <w:p w:rsidR="004668D5" w:rsidRDefault="004668D5" w:rsidP="004668D5">
      <w:pPr>
        <w:spacing w:before="0" w:after="120" w:line="240" w:lineRule="auto"/>
        <w:rPr>
          <w:rFonts w:cs="Arial-ItalicMT"/>
          <w:bCs/>
          <w:iCs/>
          <w:spacing w:val="10"/>
          <w:szCs w:val="22"/>
        </w:rPr>
      </w:pPr>
      <w:r>
        <w:rPr>
          <w:rFonts w:cs="Arial-ItalicMT"/>
          <w:bCs/>
          <w:iCs/>
          <w:spacing w:val="10"/>
          <w:szCs w:val="22"/>
        </w:rPr>
        <w:t>Některé lokality jsou ohrožené při přívalových srážkách. Kritické body a sběrné plochy jsou uvedeny v mapě.</w:t>
      </w:r>
    </w:p>
    <w:p w:rsidR="004668D5" w:rsidRDefault="004668D5">
      <w:pPr>
        <w:spacing w:before="0" w:after="0" w:line="240" w:lineRule="auto"/>
        <w:jc w:val="left"/>
        <w:rPr>
          <w:rFonts w:cs="Arial-ItalicMT"/>
          <w:b/>
          <w:bCs/>
          <w:iCs/>
          <w:color w:val="372C74"/>
          <w:spacing w:val="10"/>
          <w:sz w:val="18"/>
          <w:szCs w:val="22"/>
        </w:rPr>
      </w:pPr>
      <w:r>
        <w:rPr>
          <w:rFonts w:cs="Arial-ItalicMT"/>
          <w:b/>
          <w:bCs/>
          <w:iCs/>
          <w:color w:val="372C74"/>
          <w:spacing w:val="10"/>
          <w:sz w:val="18"/>
          <w:szCs w:val="22"/>
        </w:rPr>
        <w:br w:type="page"/>
      </w:r>
    </w:p>
    <w:p w:rsidR="004668D5" w:rsidRPr="00787A54" w:rsidRDefault="004668D5" w:rsidP="004668D5">
      <w:pPr>
        <w:spacing w:before="0" w:after="120" w:line="240" w:lineRule="auto"/>
        <w:rPr>
          <w:sz w:val="18"/>
          <w:szCs w:val="18"/>
        </w:rPr>
      </w:pPr>
      <w:bookmarkStart w:id="113" w:name="_Toc516058997"/>
      <w:r w:rsidRPr="00F42013">
        <w:rPr>
          <w:rFonts w:cs="Arial-ItalicMT" w:hint="eastAsia"/>
          <w:b/>
          <w:bCs/>
          <w:iCs/>
          <w:color w:val="372C74"/>
          <w:spacing w:val="10"/>
          <w:sz w:val="18"/>
          <w:szCs w:val="22"/>
        </w:rPr>
        <w:lastRenderedPageBreak/>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32</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Pr="00787A54">
        <w:rPr>
          <w:rFonts w:cs="Arial-ItalicMT"/>
          <w:iCs/>
          <w:sz w:val="18"/>
          <w:szCs w:val="18"/>
        </w:rPr>
        <w:t xml:space="preserve">– </w:t>
      </w:r>
      <w:r>
        <w:rPr>
          <w:sz w:val="18"/>
          <w:szCs w:val="18"/>
        </w:rPr>
        <w:t>Kritické body a sběrná místa kritických bodů u přívalových srážek</w:t>
      </w:r>
      <w:bookmarkEnd w:id="113"/>
    </w:p>
    <w:p w:rsidR="004668D5" w:rsidRDefault="004668D5" w:rsidP="004668D5">
      <w:pPr>
        <w:spacing w:before="0" w:after="120" w:line="240" w:lineRule="auto"/>
        <w:rPr>
          <w:rFonts w:cs="Arial-ItalicMT"/>
          <w:bCs/>
          <w:iCs/>
          <w:spacing w:val="10"/>
          <w:szCs w:val="22"/>
        </w:rPr>
      </w:pPr>
      <w:r>
        <w:rPr>
          <w:rFonts w:cs="Arial-ItalicMT"/>
          <w:noProof/>
          <w:spacing w:val="10"/>
          <w:szCs w:val="22"/>
          <w:lang w:eastAsia="cs-CZ" w:bidi="ar-SA"/>
        </w:rPr>
        <w:drawing>
          <wp:inline distT="0" distB="0" distL="0" distR="0">
            <wp:extent cx="5911850" cy="4178300"/>
            <wp:effectExtent l="19050" t="0" r="0" b="0"/>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6"/>
                    <a:srcRect/>
                    <a:stretch>
                      <a:fillRect/>
                    </a:stretch>
                  </pic:blipFill>
                  <pic:spPr bwMode="auto">
                    <a:xfrm>
                      <a:off x="0" y="0"/>
                      <a:ext cx="5911850" cy="4178300"/>
                    </a:xfrm>
                    <a:prstGeom prst="rect">
                      <a:avLst/>
                    </a:prstGeom>
                    <a:noFill/>
                    <a:ln w="9525">
                      <a:noFill/>
                      <a:miter lim="800000"/>
                      <a:headEnd/>
                      <a:tailEnd/>
                    </a:ln>
                  </pic:spPr>
                </pic:pic>
              </a:graphicData>
            </a:graphic>
          </wp:inline>
        </w:drawing>
      </w:r>
    </w:p>
    <w:p w:rsidR="004668D5" w:rsidRPr="008718B0" w:rsidRDefault="004668D5" w:rsidP="004668D5">
      <w:pPr>
        <w:spacing w:before="0"/>
        <w:rPr>
          <w:sz w:val="16"/>
          <w:szCs w:val="16"/>
        </w:rPr>
      </w:pPr>
      <w:r w:rsidRPr="00B47809">
        <w:rPr>
          <w:sz w:val="16"/>
          <w:szCs w:val="16"/>
        </w:rPr>
        <w:t xml:space="preserve">Zdroj: </w:t>
      </w:r>
      <w:r w:rsidRPr="00391319">
        <w:rPr>
          <w:sz w:val="16"/>
          <w:szCs w:val="16"/>
        </w:rPr>
        <w:t>ÚAP SO ORP Ostrov</w:t>
      </w:r>
    </w:p>
    <w:p w:rsidR="004668D5" w:rsidRPr="00C55821" w:rsidRDefault="004668D5" w:rsidP="004668D5">
      <w:pPr>
        <w:spacing w:before="0" w:after="120" w:line="240" w:lineRule="auto"/>
        <w:rPr>
          <w:rFonts w:cs="Arial-ItalicMT"/>
          <w:bCs/>
          <w:iCs/>
          <w:spacing w:val="10"/>
          <w:szCs w:val="22"/>
        </w:rPr>
      </w:pPr>
      <w:r>
        <w:rPr>
          <w:rFonts w:cs="Arial-ItalicMT"/>
          <w:bCs/>
          <w:iCs/>
          <w:spacing w:val="10"/>
          <w:szCs w:val="22"/>
        </w:rPr>
        <w:t>Problematika povodní a ochrany před nimi je podrobně řešena v rámci Povodňového plánu ORP Ostrov.</w:t>
      </w:r>
    </w:p>
    <w:p w:rsidR="003C564F" w:rsidRDefault="003C564F" w:rsidP="003C564F">
      <w:pPr>
        <w:spacing w:before="0" w:after="120" w:line="240" w:lineRule="auto"/>
        <w:rPr>
          <w:rFonts w:cs="Arial-ItalicMT"/>
          <w:b/>
          <w:bCs/>
          <w:iCs/>
          <w:spacing w:val="10"/>
          <w:sz w:val="18"/>
          <w:szCs w:val="22"/>
        </w:rPr>
      </w:pPr>
    </w:p>
    <w:p w:rsidR="003C564F" w:rsidRPr="00756A5B" w:rsidRDefault="003C564F" w:rsidP="003C564F">
      <w:pPr>
        <w:pStyle w:val="Nadpis6"/>
      </w:pPr>
      <w:r w:rsidRPr="00756A5B">
        <w:t>Zemědělský a lesní půdní fond</w:t>
      </w:r>
    </w:p>
    <w:p w:rsidR="003C564F" w:rsidRDefault="003C564F" w:rsidP="003C564F">
      <w:pPr>
        <w:spacing w:before="120" w:after="120"/>
      </w:pPr>
      <w:r w:rsidRPr="000B3690">
        <w:t xml:space="preserve">Na katastru města je cca 50 % pozemků vedeno jako zemědělská půda, z toho 26 % představuje orná půda, 21 % trvalé travní porosty a 3 % zahrady. Les pokrývá 30% plochy území. poměrně velkou část zde zaujímají také vodní plochy (3%). Výskyt uvedených druhů pozemků je podmíněn přírodními podmínkami, v severní části území (podhůří </w:t>
      </w:r>
      <w:r>
        <w:t>Krušných hor) převládají lesy a zemědělské půdy s nejnižší třídou ochrany.</w:t>
      </w:r>
    </w:p>
    <w:p w:rsidR="004668D5" w:rsidRDefault="004668D5" w:rsidP="003C564F">
      <w:pPr>
        <w:spacing w:before="120" w:after="120"/>
      </w:pPr>
    </w:p>
    <w:p w:rsidR="004668D5" w:rsidRDefault="004668D5" w:rsidP="003C564F">
      <w:pPr>
        <w:spacing w:before="120" w:after="120"/>
      </w:pPr>
    </w:p>
    <w:p w:rsidR="004668D5" w:rsidRDefault="004668D5" w:rsidP="003C564F">
      <w:pPr>
        <w:spacing w:before="120" w:after="120"/>
      </w:pPr>
    </w:p>
    <w:p w:rsidR="004668D5" w:rsidRDefault="004668D5" w:rsidP="003C564F">
      <w:pPr>
        <w:spacing w:before="120" w:after="120"/>
      </w:pPr>
    </w:p>
    <w:p w:rsidR="003C564F" w:rsidRPr="003743FF" w:rsidRDefault="003743FF" w:rsidP="003C564F">
      <w:pPr>
        <w:spacing w:before="0" w:after="120"/>
        <w:rPr>
          <w:rFonts w:asciiTheme="majorHAnsi" w:hAnsiTheme="majorHAnsi"/>
        </w:rPr>
      </w:pPr>
      <w:bookmarkStart w:id="114" w:name="_Toc516059037"/>
      <w:r w:rsidRPr="00684E79">
        <w:rPr>
          <w:rFonts w:asciiTheme="minorHAnsi" w:hAnsiTheme="minorHAnsi" w:cs="Arial-ItalicMT"/>
          <w:b/>
          <w:bCs/>
          <w:iCs/>
          <w:color w:val="372C74"/>
          <w:spacing w:val="10"/>
          <w:sz w:val="18"/>
          <w:szCs w:val="22"/>
        </w:rPr>
        <w:lastRenderedPageBreak/>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28</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Pr>
          <w:rFonts w:asciiTheme="minorHAnsi" w:hAnsiTheme="minorHAnsi" w:cs="Arial-ItalicMT"/>
          <w:iCs/>
          <w:sz w:val="18"/>
          <w:szCs w:val="18"/>
        </w:rPr>
        <w:t>–</w:t>
      </w:r>
      <w:r w:rsidRPr="00684E79">
        <w:rPr>
          <w:rFonts w:asciiTheme="minorHAnsi" w:hAnsiTheme="minorHAnsi" w:cs="Arial-ItalicMT"/>
          <w:iCs/>
          <w:sz w:val="18"/>
          <w:szCs w:val="18"/>
        </w:rPr>
        <w:t xml:space="preserve"> </w:t>
      </w:r>
      <w:r w:rsidR="003C564F" w:rsidRPr="00DA6B2E">
        <w:rPr>
          <w:rFonts w:cs="Arial-ItalicMT"/>
          <w:iCs/>
          <w:sz w:val="18"/>
          <w:szCs w:val="18"/>
        </w:rPr>
        <w:t>Výměra jednotlivých druhů pozemků (ha)</w:t>
      </w:r>
      <w:r w:rsidR="003C564F" w:rsidRPr="00DA6B2E">
        <w:rPr>
          <w:rStyle w:val="Znakapoznpodarou"/>
          <w:rFonts w:cs="Arial-ItalicMT"/>
          <w:iCs/>
          <w:sz w:val="18"/>
          <w:szCs w:val="18"/>
        </w:rPr>
        <w:footnoteReference w:id="18"/>
      </w:r>
      <w:bookmarkEnd w:id="114"/>
    </w:p>
    <w:tbl>
      <w:tblPr>
        <w:tblW w:w="9528" w:type="dxa"/>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ayout w:type="fixed"/>
        <w:tblLook w:val="04A0" w:firstRow="1" w:lastRow="0" w:firstColumn="1" w:lastColumn="0" w:noHBand="0" w:noVBand="1"/>
      </w:tblPr>
      <w:tblGrid>
        <w:gridCol w:w="1549"/>
        <w:gridCol w:w="886"/>
        <w:gridCol w:w="887"/>
        <w:gridCol w:w="886"/>
        <w:gridCol w:w="887"/>
        <w:gridCol w:w="886"/>
        <w:gridCol w:w="887"/>
        <w:gridCol w:w="886"/>
        <w:gridCol w:w="887"/>
        <w:gridCol w:w="887"/>
      </w:tblGrid>
      <w:tr w:rsidR="003C564F" w:rsidRPr="00DA6B2E" w:rsidTr="00066312">
        <w:trPr>
          <w:tblHeader/>
        </w:trPr>
        <w:tc>
          <w:tcPr>
            <w:tcW w:w="1549" w:type="dxa"/>
            <w:tcBorders>
              <w:top w:val="single" w:sz="12" w:space="0" w:color="372C74"/>
              <w:left w:val="single" w:sz="12" w:space="0" w:color="372C74"/>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r w:rsidRPr="007026C2">
              <w:rPr>
                <w:b/>
                <w:sz w:val="16"/>
                <w:szCs w:val="16"/>
              </w:rPr>
              <w:t>Obec</w:t>
            </w:r>
          </w:p>
        </w:tc>
        <w:tc>
          <w:tcPr>
            <w:tcW w:w="3546" w:type="dxa"/>
            <w:gridSpan w:val="4"/>
            <w:tcBorders>
              <w:top w:val="single" w:sz="12" w:space="0" w:color="372C74"/>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r w:rsidRPr="007026C2">
              <w:rPr>
                <w:b/>
                <w:sz w:val="16"/>
                <w:szCs w:val="16"/>
              </w:rPr>
              <w:t>Zemědělská půda</w:t>
            </w:r>
          </w:p>
        </w:tc>
        <w:tc>
          <w:tcPr>
            <w:tcW w:w="886" w:type="dxa"/>
            <w:tcBorders>
              <w:top w:val="single" w:sz="12" w:space="0" w:color="372C74"/>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r w:rsidRPr="007026C2">
              <w:rPr>
                <w:b/>
                <w:sz w:val="16"/>
                <w:szCs w:val="16"/>
              </w:rPr>
              <w:t xml:space="preserve">Lesní půda </w:t>
            </w:r>
          </w:p>
        </w:tc>
        <w:tc>
          <w:tcPr>
            <w:tcW w:w="887" w:type="dxa"/>
            <w:tcBorders>
              <w:top w:val="single" w:sz="12" w:space="0" w:color="372C74"/>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r w:rsidRPr="007026C2">
              <w:rPr>
                <w:b/>
                <w:sz w:val="16"/>
                <w:szCs w:val="16"/>
              </w:rPr>
              <w:t xml:space="preserve">Vodní plochy </w:t>
            </w:r>
          </w:p>
        </w:tc>
        <w:tc>
          <w:tcPr>
            <w:tcW w:w="886" w:type="dxa"/>
            <w:tcBorders>
              <w:top w:val="single" w:sz="12" w:space="0" w:color="372C74"/>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r w:rsidRPr="007026C2">
              <w:rPr>
                <w:b/>
                <w:sz w:val="16"/>
                <w:szCs w:val="16"/>
              </w:rPr>
              <w:t xml:space="preserve">Zastavěné plochy </w:t>
            </w:r>
          </w:p>
        </w:tc>
        <w:tc>
          <w:tcPr>
            <w:tcW w:w="887" w:type="dxa"/>
            <w:tcBorders>
              <w:top w:val="single" w:sz="12" w:space="0" w:color="372C74"/>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r w:rsidRPr="007026C2">
              <w:rPr>
                <w:b/>
                <w:sz w:val="16"/>
                <w:szCs w:val="16"/>
              </w:rPr>
              <w:t xml:space="preserve">Ostatní plochy </w:t>
            </w:r>
          </w:p>
        </w:tc>
        <w:tc>
          <w:tcPr>
            <w:tcW w:w="887" w:type="dxa"/>
            <w:tcBorders>
              <w:top w:val="single" w:sz="12" w:space="0" w:color="372C74"/>
              <w:left w:val="nil"/>
              <w:bottom w:val="single" w:sz="12" w:space="0" w:color="FFFFFF"/>
              <w:right w:val="single" w:sz="12" w:space="0" w:color="372C74"/>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r w:rsidRPr="007026C2">
              <w:rPr>
                <w:b/>
                <w:sz w:val="16"/>
                <w:szCs w:val="16"/>
              </w:rPr>
              <w:t>Celková výměra</w:t>
            </w:r>
          </w:p>
        </w:tc>
      </w:tr>
      <w:tr w:rsidR="003C564F" w:rsidRPr="00DA6B2E" w:rsidTr="00066312">
        <w:trPr>
          <w:trHeight w:val="492"/>
          <w:tblHeader/>
        </w:trPr>
        <w:tc>
          <w:tcPr>
            <w:tcW w:w="1549" w:type="dxa"/>
            <w:tcBorders>
              <w:top w:val="single" w:sz="12" w:space="0" w:color="FFFFFF"/>
              <w:left w:val="single" w:sz="12" w:space="0" w:color="372C74"/>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p>
        </w:tc>
        <w:tc>
          <w:tcPr>
            <w:tcW w:w="886" w:type="dxa"/>
            <w:tcBorders>
              <w:top w:val="single" w:sz="12" w:space="0" w:color="FFFFFF"/>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r w:rsidRPr="007026C2">
              <w:rPr>
                <w:b/>
                <w:sz w:val="16"/>
                <w:szCs w:val="16"/>
              </w:rPr>
              <w:t>Celkem</w:t>
            </w:r>
          </w:p>
        </w:tc>
        <w:tc>
          <w:tcPr>
            <w:tcW w:w="887" w:type="dxa"/>
            <w:tcBorders>
              <w:top w:val="single" w:sz="12" w:space="0" w:color="FFFFFF"/>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i/>
                <w:sz w:val="16"/>
                <w:szCs w:val="16"/>
              </w:rPr>
            </w:pPr>
            <w:r w:rsidRPr="007026C2">
              <w:rPr>
                <w:b/>
                <w:i/>
                <w:sz w:val="16"/>
                <w:szCs w:val="16"/>
              </w:rPr>
              <w:t xml:space="preserve">Orná půda </w:t>
            </w:r>
          </w:p>
        </w:tc>
        <w:tc>
          <w:tcPr>
            <w:tcW w:w="886" w:type="dxa"/>
            <w:tcBorders>
              <w:top w:val="single" w:sz="12" w:space="0" w:color="FFFFFF"/>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i/>
                <w:sz w:val="16"/>
                <w:szCs w:val="16"/>
              </w:rPr>
            </w:pPr>
            <w:r w:rsidRPr="007026C2">
              <w:rPr>
                <w:b/>
                <w:i/>
                <w:sz w:val="16"/>
                <w:szCs w:val="16"/>
              </w:rPr>
              <w:t xml:space="preserve">Zahrady </w:t>
            </w:r>
          </w:p>
        </w:tc>
        <w:tc>
          <w:tcPr>
            <w:tcW w:w="887" w:type="dxa"/>
            <w:tcBorders>
              <w:top w:val="single" w:sz="12" w:space="0" w:color="FFFFFF"/>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i/>
                <w:sz w:val="16"/>
                <w:szCs w:val="16"/>
              </w:rPr>
            </w:pPr>
            <w:r w:rsidRPr="007026C2">
              <w:rPr>
                <w:b/>
                <w:i/>
                <w:sz w:val="16"/>
                <w:szCs w:val="16"/>
              </w:rPr>
              <w:t xml:space="preserve">Trvalé travní porosty  </w:t>
            </w:r>
          </w:p>
        </w:tc>
        <w:tc>
          <w:tcPr>
            <w:tcW w:w="886" w:type="dxa"/>
            <w:tcBorders>
              <w:top w:val="single" w:sz="12" w:space="0" w:color="FFFFFF"/>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p>
        </w:tc>
        <w:tc>
          <w:tcPr>
            <w:tcW w:w="887" w:type="dxa"/>
            <w:tcBorders>
              <w:top w:val="single" w:sz="12" w:space="0" w:color="FFFFFF"/>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p>
        </w:tc>
        <w:tc>
          <w:tcPr>
            <w:tcW w:w="886" w:type="dxa"/>
            <w:tcBorders>
              <w:top w:val="single" w:sz="12" w:space="0" w:color="FFFFFF"/>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p>
        </w:tc>
        <w:tc>
          <w:tcPr>
            <w:tcW w:w="887" w:type="dxa"/>
            <w:tcBorders>
              <w:top w:val="single" w:sz="12" w:space="0" w:color="FFFFFF"/>
              <w:left w:val="nil"/>
              <w:bottom w:val="single" w:sz="12" w:space="0" w:color="FFFFFF"/>
              <w:right w:val="nil"/>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p>
        </w:tc>
        <w:tc>
          <w:tcPr>
            <w:tcW w:w="887" w:type="dxa"/>
            <w:tcBorders>
              <w:top w:val="single" w:sz="12" w:space="0" w:color="FFFFFF"/>
              <w:left w:val="nil"/>
              <w:bottom w:val="single" w:sz="12" w:space="0" w:color="FFFFFF"/>
              <w:right w:val="single" w:sz="12" w:space="0" w:color="372C74"/>
              <w:tl2br w:val="nil"/>
              <w:tr2bl w:val="nil"/>
            </w:tcBorders>
            <w:shd w:val="clear" w:color="auto" w:fill="372C74"/>
            <w:vAlign w:val="center"/>
          </w:tcPr>
          <w:p w:rsidR="003C564F" w:rsidRPr="007026C2" w:rsidRDefault="003C564F" w:rsidP="00066312">
            <w:pPr>
              <w:spacing w:before="0" w:after="0" w:line="240" w:lineRule="auto"/>
              <w:jc w:val="center"/>
              <w:rPr>
                <w:b/>
                <w:sz w:val="16"/>
                <w:szCs w:val="16"/>
              </w:rPr>
            </w:pPr>
          </w:p>
        </w:tc>
      </w:tr>
      <w:tr w:rsidR="003C564F" w:rsidRPr="00DA6B2E" w:rsidTr="00066312">
        <w:tc>
          <w:tcPr>
            <w:tcW w:w="1549" w:type="dxa"/>
            <w:tcBorders>
              <w:top w:val="single" w:sz="12" w:space="0" w:color="FFFFFF"/>
              <w:left w:val="single" w:sz="12" w:space="0" w:color="372C74"/>
              <w:bottom w:val="nil"/>
              <w:right w:val="single" w:sz="12" w:space="0" w:color="372C74"/>
              <w:tl2br w:val="nil"/>
              <w:tr2bl w:val="nil"/>
            </w:tcBorders>
            <w:shd w:val="clear" w:color="auto" w:fill="auto"/>
            <w:vAlign w:val="center"/>
          </w:tcPr>
          <w:p w:rsidR="003C564F" w:rsidRPr="007026C2" w:rsidRDefault="003C564F" w:rsidP="00066312">
            <w:pPr>
              <w:spacing w:before="0" w:after="0" w:line="240" w:lineRule="auto"/>
              <w:ind w:firstLineChars="100" w:firstLine="164"/>
              <w:rPr>
                <w:rFonts w:cs="Arial"/>
                <w:sz w:val="16"/>
                <w:szCs w:val="16"/>
              </w:rPr>
            </w:pPr>
            <w:r w:rsidRPr="007026C2">
              <w:rPr>
                <w:rFonts w:cs="Arial"/>
                <w:sz w:val="16"/>
                <w:szCs w:val="16"/>
              </w:rPr>
              <w:t>Ostrov</w:t>
            </w:r>
          </w:p>
        </w:tc>
        <w:tc>
          <w:tcPr>
            <w:tcW w:w="886" w:type="dxa"/>
            <w:tcBorders>
              <w:top w:val="single" w:sz="12" w:space="0" w:color="FFFFFF"/>
            </w:tcBorders>
            <w:shd w:val="clear" w:color="auto" w:fill="auto"/>
            <w:vAlign w:val="center"/>
          </w:tcPr>
          <w:p w:rsidR="003C564F" w:rsidRPr="007026C2" w:rsidRDefault="003C564F" w:rsidP="00066312">
            <w:pPr>
              <w:spacing w:before="0" w:after="0" w:line="240" w:lineRule="auto"/>
              <w:jc w:val="center"/>
              <w:rPr>
                <w:rFonts w:cs="Arial"/>
                <w:sz w:val="16"/>
                <w:szCs w:val="16"/>
              </w:rPr>
            </w:pPr>
            <w:r w:rsidRPr="007026C2">
              <w:rPr>
                <w:rFonts w:cs="Arial"/>
                <w:sz w:val="16"/>
                <w:szCs w:val="16"/>
              </w:rPr>
              <w:t>2 485</w:t>
            </w:r>
          </w:p>
        </w:tc>
        <w:tc>
          <w:tcPr>
            <w:tcW w:w="887" w:type="dxa"/>
            <w:tcBorders>
              <w:top w:val="single" w:sz="12" w:space="0" w:color="FFFFFF"/>
            </w:tcBorders>
            <w:shd w:val="clear" w:color="auto" w:fill="auto"/>
            <w:vAlign w:val="center"/>
          </w:tcPr>
          <w:p w:rsidR="003C564F" w:rsidRPr="007026C2" w:rsidRDefault="003C564F" w:rsidP="00066312">
            <w:pPr>
              <w:spacing w:before="0" w:after="0" w:line="240" w:lineRule="auto"/>
              <w:jc w:val="center"/>
              <w:rPr>
                <w:rFonts w:cs="Arial"/>
                <w:i/>
                <w:sz w:val="16"/>
                <w:szCs w:val="16"/>
              </w:rPr>
            </w:pPr>
          </w:p>
        </w:tc>
        <w:tc>
          <w:tcPr>
            <w:tcW w:w="886" w:type="dxa"/>
            <w:tcBorders>
              <w:top w:val="single" w:sz="12" w:space="0" w:color="FFFFFF"/>
            </w:tcBorders>
            <w:shd w:val="clear" w:color="auto" w:fill="auto"/>
            <w:vAlign w:val="center"/>
          </w:tcPr>
          <w:p w:rsidR="003C564F" w:rsidRPr="007026C2" w:rsidRDefault="003C564F" w:rsidP="00066312">
            <w:pPr>
              <w:spacing w:before="0" w:after="0" w:line="240" w:lineRule="auto"/>
              <w:jc w:val="center"/>
              <w:rPr>
                <w:i/>
                <w:sz w:val="16"/>
                <w:szCs w:val="16"/>
              </w:rPr>
            </w:pPr>
          </w:p>
        </w:tc>
        <w:tc>
          <w:tcPr>
            <w:tcW w:w="887" w:type="dxa"/>
            <w:tcBorders>
              <w:top w:val="single" w:sz="12" w:space="0" w:color="FFFFFF"/>
            </w:tcBorders>
            <w:shd w:val="clear" w:color="auto" w:fill="auto"/>
            <w:vAlign w:val="center"/>
          </w:tcPr>
          <w:p w:rsidR="003C564F" w:rsidRPr="007026C2" w:rsidRDefault="003C564F" w:rsidP="00066312">
            <w:pPr>
              <w:spacing w:before="0" w:after="0" w:line="240" w:lineRule="auto"/>
              <w:jc w:val="center"/>
              <w:rPr>
                <w:i/>
                <w:sz w:val="16"/>
                <w:szCs w:val="16"/>
              </w:rPr>
            </w:pPr>
          </w:p>
        </w:tc>
        <w:tc>
          <w:tcPr>
            <w:tcW w:w="886" w:type="dxa"/>
            <w:tcBorders>
              <w:top w:val="single" w:sz="12" w:space="0" w:color="FFFFFF"/>
            </w:tcBorders>
            <w:shd w:val="clear" w:color="auto" w:fill="auto"/>
            <w:vAlign w:val="center"/>
          </w:tcPr>
          <w:p w:rsidR="003C564F" w:rsidRPr="007026C2" w:rsidRDefault="003C564F" w:rsidP="00066312">
            <w:pPr>
              <w:spacing w:before="0" w:after="0" w:line="240" w:lineRule="auto"/>
              <w:jc w:val="center"/>
              <w:rPr>
                <w:sz w:val="16"/>
                <w:szCs w:val="16"/>
              </w:rPr>
            </w:pPr>
            <w:r w:rsidRPr="007026C2">
              <w:rPr>
                <w:sz w:val="16"/>
                <w:szCs w:val="16"/>
              </w:rPr>
              <w:t>1 522</w:t>
            </w:r>
          </w:p>
        </w:tc>
        <w:tc>
          <w:tcPr>
            <w:tcW w:w="887" w:type="dxa"/>
            <w:tcBorders>
              <w:top w:val="single" w:sz="12" w:space="0" w:color="FFFFFF"/>
            </w:tcBorders>
            <w:shd w:val="clear" w:color="auto" w:fill="auto"/>
            <w:vAlign w:val="center"/>
          </w:tcPr>
          <w:p w:rsidR="003C564F" w:rsidRPr="007026C2" w:rsidRDefault="003C564F" w:rsidP="00066312">
            <w:pPr>
              <w:spacing w:before="0" w:after="0" w:line="240" w:lineRule="auto"/>
              <w:jc w:val="center"/>
              <w:rPr>
                <w:sz w:val="16"/>
                <w:szCs w:val="16"/>
              </w:rPr>
            </w:pPr>
            <w:r w:rsidRPr="007026C2">
              <w:rPr>
                <w:sz w:val="16"/>
                <w:szCs w:val="16"/>
              </w:rPr>
              <w:t>144</w:t>
            </w:r>
          </w:p>
        </w:tc>
        <w:tc>
          <w:tcPr>
            <w:tcW w:w="886" w:type="dxa"/>
            <w:tcBorders>
              <w:top w:val="single" w:sz="12" w:space="0" w:color="FFFFFF"/>
            </w:tcBorders>
            <w:shd w:val="clear" w:color="auto" w:fill="auto"/>
            <w:vAlign w:val="center"/>
          </w:tcPr>
          <w:p w:rsidR="003C564F" w:rsidRPr="007026C2" w:rsidRDefault="003C564F" w:rsidP="00066312">
            <w:pPr>
              <w:spacing w:before="0" w:after="0" w:line="240" w:lineRule="auto"/>
              <w:jc w:val="center"/>
              <w:rPr>
                <w:rFonts w:cs="Arial"/>
                <w:sz w:val="16"/>
                <w:szCs w:val="16"/>
              </w:rPr>
            </w:pPr>
            <w:r w:rsidRPr="007026C2">
              <w:rPr>
                <w:rFonts w:cs="Arial"/>
                <w:sz w:val="16"/>
                <w:szCs w:val="16"/>
              </w:rPr>
              <w:t>118</w:t>
            </w:r>
          </w:p>
        </w:tc>
        <w:tc>
          <w:tcPr>
            <w:tcW w:w="887" w:type="dxa"/>
            <w:tcBorders>
              <w:top w:val="single" w:sz="12" w:space="0" w:color="FFFFFF"/>
            </w:tcBorders>
            <w:shd w:val="clear" w:color="auto" w:fill="auto"/>
            <w:vAlign w:val="center"/>
          </w:tcPr>
          <w:p w:rsidR="003C564F" w:rsidRPr="007026C2" w:rsidRDefault="003C564F" w:rsidP="00066312">
            <w:pPr>
              <w:spacing w:before="0" w:after="0" w:line="240" w:lineRule="auto"/>
              <w:jc w:val="center"/>
              <w:rPr>
                <w:rFonts w:cs="Arial"/>
                <w:sz w:val="16"/>
                <w:szCs w:val="16"/>
              </w:rPr>
            </w:pPr>
            <w:r w:rsidRPr="007026C2">
              <w:rPr>
                <w:rFonts w:cs="Arial"/>
                <w:sz w:val="16"/>
                <w:szCs w:val="16"/>
              </w:rPr>
              <w:t>772</w:t>
            </w:r>
          </w:p>
        </w:tc>
        <w:tc>
          <w:tcPr>
            <w:tcW w:w="887" w:type="dxa"/>
            <w:tcBorders>
              <w:top w:val="single" w:sz="12" w:space="0" w:color="FFFFFF"/>
            </w:tcBorders>
            <w:shd w:val="clear" w:color="auto" w:fill="auto"/>
            <w:vAlign w:val="center"/>
          </w:tcPr>
          <w:p w:rsidR="003C564F" w:rsidRPr="007026C2" w:rsidRDefault="003C564F" w:rsidP="00066312">
            <w:pPr>
              <w:spacing w:before="0" w:after="0" w:line="240" w:lineRule="auto"/>
              <w:jc w:val="center"/>
              <w:rPr>
                <w:rFonts w:cs="Arial"/>
                <w:sz w:val="16"/>
                <w:szCs w:val="16"/>
              </w:rPr>
            </w:pPr>
            <w:r w:rsidRPr="007026C2">
              <w:rPr>
                <w:rFonts w:cs="Arial"/>
                <w:sz w:val="16"/>
                <w:szCs w:val="16"/>
              </w:rPr>
              <w:t>5 041</w:t>
            </w:r>
          </w:p>
        </w:tc>
      </w:tr>
      <w:tr w:rsidR="003C564F" w:rsidRPr="00DA6B2E" w:rsidTr="00066312">
        <w:tc>
          <w:tcPr>
            <w:tcW w:w="1549" w:type="dxa"/>
            <w:tcBorders>
              <w:left w:val="single" w:sz="12" w:space="0" w:color="372C74"/>
              <w:bottom w:val="single" w:sz="12" w:space="0" w:color="372C74"/>
              <w:right w:val="single" w:sz="12" w:space="0" w:color="372C74"/>
              <w:tl2br w:val="nil"/>
              <w:tr2bl w:val="nil"/>
            </w:tcBorders>
            <w:shd w:val="clear" w:color="auto" w:fill="auto"/>
            <w:vAlign w:val="center"/>
          </w:tcPr>
          <w:p w:rsidR="003C564F" w:rsidRPr="007026C2" w:rsidRDefault="003C564F" w:rsidP="00066312">
            <w:pPr>
              <w:spacing w:before="0" w:after="0" w:line="240" w:lineRule="auto"/>
              <w:ind w:firstLineChars="100" w:firstLine="164"/>
              <w:rPr>
                <w:rFonts w:cs="Arial"/>
                <w:sz w:val="16"/>
                <w:szCs w:val="16"/>
              </w:rPr>
            </w:pPr>
          </w:p>
        </w:tc>
        <w:tc>
          <w:tcPr>
            <w:tcW w:w="886" w:type="dxa"/>
            <w:shd w:val="clear" w:color="auto" w:fill="auto"/>
            <w:vAlign w:val="center"/>
          </w:tcPr>
          <w:p w:rsidR="003C564F" w:rsidRPr="007026C2" w:rsidRDefault="003C564F" w:rsidP="00066312">
            <w:pPr>
              <w:spacing w:before="0" w:after="0" w:line="240" w:lineRule="auto"/>
              <w:jc w:val="center"/>
              <w:rPr>
                <w:rFonts w:cs="Arial"/>
                <w:sz w:val="16"/>
                <w:szCs w:val="16"/>
              </w:rPr>
            </w:pPr>
          </w:p>
        </w:tc>
        <w:tc>
          <w:tcPr>
            <w:tcW w:w="887" w:type="dxa"/>
            <w:shd w:val="clear" w:color="auto" w:fill="auto"/>
            <w:vAlign w:val="center"/>
          </w:tcPr>
          <w:p w:rsidR="003C564F" w:rsidRPr="007026C2" w:rsidRDefault="003C564F" w:rsidP="00066312">
            <w:pPr>
              <w:spacing w:before="0" w:after="0" w:line="240" w:lineRule="auto"/>
              <w:jc w:val="center"/>
              <w:rPr>
                <w:rFonts w:cs="Arial"/>
                <w:i/>
                <w:sz w:val="16"/>
                <w:szCs w:val="16"/>
              </w:rPr>
            </w:pPr>
            <w:r w:rsidRPr="007026C2">
              <w:rPr>
                <w:rFonts w:cs="Arial"/>
                <w:i/>
                <w:sz w:val="16"/>
                <w:szCs w:val="16"/>
              </w:rPr>
              <w:t>1 294</w:t>
            </w:r>
          </w:p>
        </w:tc>
        <w:tc>
          <w:tcPr>
            <w:tcW w:w="886" w:type="dxa"/>
            <w:shd w:val="clear" w:color="auto" w:fill="auto"/>
            <w:vAlign w:val="center"/>
          </w:tcPr>
          <w:p w:rsidR="003C564F" w:rsidRPr="007026C2" w:rsidRDefault="003C564F" w:rsidP="00066312">
            <w:pPr>
              <w:spacing w:before="0" w:after="0" w:line="240" w:lineRule="auto"/>
              <w:jc w:val="center"/>
              <w:rPr>
                <w:i/>
                <w:sz w:val="16"/>
                <w:szCs w:val="16"/>
              </w:rPr>
            </w:pPr>
            <w:r w:rsidRPr="007026C2">
              <w:rPr>
                <w:i/>
                <w:sz w:val="16"/>
                <w:szCs w:val="16"/>
              </w:rPr>
              <w:t>144</w:t>
            </w:r>
          </w:p>
        </w:tc>
        <w:tc>
          <w:tcPr>
            <w:tcW w:w="887" w:type="dxa"/>
            <w:shd w:val="clear" w:color="auto" w:fill="auto"/>
            <w:vAlign w:val="center"/>
          </w:tcPr>
          <w:p w:rsidR="003C564F" w:rsidRPr="007026C2" w:rsidRDefault="003C564F" w:rsidP="00066312">
            <w:pPr>
              <w:spacing w:before="0" w:after="0" w:line="240" w:lineRule="auto"/>
              <w:jc w:val="center"/>
              <w:rPr>
                <w:i/>
                <w:sz w:val="16"/>
                <w:szCs w:val="16"/>
              </w:rPr>
            </w:pPr>
            <w:r w:rsidRPr="007026C2">
              <w:rPr>
                <w:i/>
                <w:sz w:val="16"/>
                <w:szCs w:val="16"/>
              </w:rPr>
              <w:t>1 078</w:t>
            </w:r>
          </w:p>
        </w:tc>
        <w:tc>
          <w:tcPr>
            <w:tcW w:w="886" w:type="dxa"/>
            <w:shd w:val="clear" w:color="auto" w:fill="auto"/>
            <w:vAlign w:val="center"/>
          </w:tcPr>
          <w:p w:rsidR="003C564F" w:rsidRPr="007026C2" w:rsidRDefault="003C564F" w:rsidP="00066312">
            <w:pPr>
              <w:spacing w:before="0" w:after="0" w:line="240" w:lineRule="auto"/>
              <w:jc w:val="center"/>
              <w:rPr>
                <w:sz w:val="16"/>
                <w:szCs w:val="16"/>
              </w:rPr>
            </w:pPr>
          </w:p>
        </w:tc>
        <w:tc>
          <w:tcPr>
            <w:tcW w:w="887" w:type="dxa"/>
            <w:shd w:val="clear" w:color="auto" w:fill="auto"/>
            <w:vAlign w:val="center"/>
          </w:tcPr>
          <w:p w:rsidR="003C564F" w:rsidRPr="007026C2" w:rsidRDefault="003C564F" w:rsidP="00066312">
            <w:pPr>
              <w:spacing w:before="0" w:after="0" w:line="240" w:lineRule="auto"/>
              <w:jc w:val="center"/>
              <w:rPr>
                <w:sz w:val="16"/>
                <w:szCs w:val="16"/>
              </w:rPr>
            </w:pPr>
          </w:p>
        </w:tc>
        <w:tc>
          <w:tcPr>
            <w:tcW w:w="886" w:type="dxa"/>
            <w:shd w:val="clear" w:color="auto" w:fill="auto"/>
            <w:vAlign w:val="center"/>
          </w:tcPr>
          <w:p w:rsidR="003C564F" w:rsidRPr="007026C2" w:rsidRDefault="003C564F" w:rsidP="00066312">
            <w:pPr>
              <w:spacing w:before="0" w:after="0" w:line="240" w:lineRule="auto"/>
              <w:jc w:val="center"/>
              <w:rPr>
                <w:rFonts w:cs="Arial"/>
                <w:sz w:val="16"/>
                <w:szCs w:val="16"/>
              </w:rPr>
            </w:pPr>
          </w:p>
        </w:tc>
        <w:tc>
          <w:tcPr>
            <w:tcW w:w="887" w:type="dxa"/>
            <w:shd w:val="clear" w:color="auto" w:fill="auto"/>
            <w:vAlign w:val="center"/>
          </w:tcPr>
          <w:p w:rsidR="003C564F" w:rsidRPr="007026C2" w:rsidRDefault="003C564F" w:rsidP="00066312">
            <w:pPr>
              <w:spacing w:before="0" w:after="0" w:line="240" w:lineRule="auto"/>
              <w:jc w:val="center"/>
              <w:rPr>
                <w:rFonts w:cs="Arial"/>
                <w:sz w:val="16"/>
                <w:szCs w:val="16"/>
              </w:rPr>
            </w:pPr>
          </w:p>
        </w:tc>
        <w:tc>
          <w:tcPr>
            <w:tcW w:w="887" w:type="dxa"/>
            <w:shd w:val="clear" w:color="auto" w:fill="auto"/>
            <w:vAlign w:val="center"/>
          </w:tcPr>
          <w:p w:rsidR="003C564F" w:rsidRPr="007026C2" w:rsidRDefault="003C564F" w:rsidP="00066312">
            <w:pPr>
              <w:spacing w:before="0" w:after="0" w:line="240" w:lineRule="auto"/>
              <w:jc w:val="center"/>
              <w:rPr>
                <w:rFonts w:cs="Arial"/>
                <w:sz w:val="16"/>
                <w:szCs w:val="16"/>
              </w:rPr>
            </w:pPr>
          </w:p>
        </w:tc>
      </w:tr>
    </w:tbl>
    <w:p w:rsidR="003C564F" w:rsidRPr="00DA6B2E" w:rsidRDefault="003C564F" w:rsidP="003C564F">
      <w:pPr>
        <w:spacing w:before="0"/>
        <w:rPr>
          <w:sz w:val="16"/>
          <w:szCs w:val="16"/>
        </w:rPr>
      </w:pPr>
      <w:r w:rsidRPr="00DA6B2E">
        <w:rPr>
          <w:sz w:val="16"/>
          <w:szCs w:val="16"/>
        </w:rPr>
        <w:t xml:space="preserve">Zdroj: Regionální informační servis </w:t>
      </w:r>
    </w:p>
    <w:p w:rsidR="003C564F" w:rsidRDefault="003C564F" w:rsidP="003C564F">
      <w:pPr>
        <w:spacing w:before="120" w:after="120"/>
      </w:pPr>
    </w:p>
    <w:p w:rsidR="003C564F" w:rsidRPr="00AA588B" w:rsidRDefault="001B340A" w:rsidP="003C564F">
      <w:pPr>
        <w:spacing w:before="120" w:after="120"/>
      </w:pPr>
      <w:bookmarkStart w:id="115" w:name="_Toc516058998"/>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33</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B47809">
        <w:rPr>
          <w:rFonts w:cs="Arial-ItalicMT"/>
          <w:iCs/>
          <w:sz w:val="18"/>
          <w:szCs w:val="18"/>
        </w:rPr>
        <w:t xml:space="preserve">– </w:t>
      </w:r>
      <w:r w:rsidR="003C564F" w:rsidRPr="00DA6B2E">
        <w:rPr>
          <w:sz w:val="18"/>
          <w:szCs w:val="18"/>
        </w:rPr>
        <w:t xml:space="preserve">Výměra jednotlivých druhů pozemků v </w:t>
      </w:r>
      <w:r w:rsidR="003C564F">
        <w:rPr>
          <w:sz w:val="18"/>
          <w:szCs w:val="18"/>
        </w:rPr>
        <w:t>Ostrově</w:t>
      </w:r>
      <w:r w:rsidR="003C564F" w:rsidRPr="00DA6B2E">
        <w:rPr>
          <w:sz w:val="18"/>
          <w:szCs w:val="18"/>
        </w:rPr>
        <w:t xml:space="preserve"> (%)</w:t>
      </w:r>
      <w:bookmarkEnd w:id="115"/>
    </w:p>
    <w:p w:rsidR="003C564F" w:rsidRDefault="003C564F" w:rsidP="003C564F">
      <w:pPr>
        <w:spacing w:before="0" w:after="120"/>
        <w:rPr>
          <w:rFonts w:ascii="Times New Roman" w:eastAsia="Times New Roman" w:hAnsi="Times New Roman"/>
          <w:spacing w:val="0"/>
          <w:sz w:val="20"/>
          <w:lang w:eastAsia="cs-CZ" w:bidi="ar-SA"/>
        </w:rPr>
      </w:pPr>
      <w:r>
        <w:rPr>
          <w:noProof/>
          <w:lang w:eastAsia="cs-CZ" w:bidi="ar-SA"/>
        </w:rPr>
        <w:drawing>
          <wp:inline distT="0" distB="0" distL="0" distR="0">
            <wp:extent cx="4591050" cy="2762250"/>
            <wp:effectExtent l="19050" t="0" r="0" b="0"/>
            <wp:docPr id="43"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pic:cNvPicPr>
                      <a:picLocks noChangeAspect="1" noChangeArrowheads="1"/>
                    </pic:cNvPicPr>
                  </pic:nvPicPr>
                  <pic:blipFill>
                    <a:blip r:embed="rId47"/>
                    <a:srcRect/>
                    <a:stretch>
                      <a:fillRect/>
                    </a:stretch>
                  </pic:blipFill>
                  <pic:spPr bwMode="auto">
                    <a:xfrm>
                      <a:off x="0" y="0"/>
                      <a:ext cx="4591050" cy="2762250"/>
                    </a:xfrm>
                    <a:prstGeom prst="rect">
                      <a:avLst/>
                    </a:prstGeom>
                    <a:noFill/>
                    <a:ln w="9525">
                      <a:noFill/>
                      <a:miter lim="800000"/>
                      <a:headEnd/>
                      <a:tailEnd/>
                    </a:ln>
                  </pic:spPr>
                </pic:pic>
              </a:graphicData>
            </a:graphic>
          </wp:inline>
        </w:drawing>
      </w:r>
    </w:p>
    <w:p w:rsidR="003C564F" w:rsidRDefault="003C564F" w:rsidP="003C564F">
      <w:pPr>
        <w:spacing w:before="0" w:after="120"/>
      </w:pPr>
      <w:r w:rsidRPr="005916D8">
        <w:t xml:space="preserve">Nejkvalitnější zemědělské půdy </w:t>
      </w:r>
      <w:r>
        <w:t xml:space="preserve">(půdy I. a II. třídy ochrany) </w:t>
      </w:r>
      <w:r w:rsidRPr="005916D8">
        <w:t xml:space="preserve">se nacházejí </w:t>
      </w:r>
      <w:r>
        <w:t xml:space="preserve">v katastrálním území Maroltov, Vykmanov u Ostrova, Květnová, Kfely u Ostrova a Ostrov nad Ohří. </w:t>
      </w:r>
    </w:p>
    <w:p w:rsidR="00B9565D" w:rsidRDefault="004668D5" w:rsidP="003C564F">
      <w:pPr>
        <w:spacing w:before="0" w:after="120"/>
        <w:rPr>
          <w:rFonts w:eastAsia="Times New Roman"/>
          <w:spacing w:val="0"/>
          <w:szCs w:val="22"/>
          <w:lang w:eastAsia="cs-CZ" w:bidi="ar-SA"/>
        </w:rPr>
      </w:pPr>
      <w:r w:rsidRPr="00F36BFF">
        <w:rPr>
          <w:rFonts w:eastAsia="Times New Roman"/>
          <w:spacing w:val="0"/>
          <w:szCs w:val="22"/>
          <w:lang w:eastAsia="cs-CZ" w:bidi="ar-SA"/>
        </w:rPr>
        <w:t>Rizikem je ponechávání</w:t>
      </w:r>
      <w:r>
        <w:rPr>
          <w:rFonts w:eastAsia="Times New Roman"/>
          <w:spacing w:val="0"/>
          <w:szCs w:val="22"/>
          <w:lang w:eastAsia="cs-CZ" w:bidi="ar-SA"/>
        </w:rPr>
        <w:t xml:space="preserve"> </w:t>
      </w:r>
      <w:r w:rsidRPr="00F36BFF">
        <w:rPr>
          <w:rFonts w:eastAsia="Times New Roman"/>
          <w:spacing w:val="0"/>
          <w:szCs w:val="22"/>
          <w:lang w:eastAsia="cs-CZ" w:bidi="ar-SA"/>
        </w:rPr>
        <w:t>pudy ladem, její zales</w:t>
      </w:r>
      <w:r>
        <w:rPr>
          <w:rFonts w:eastAsia="Times New Roman"/>
          <w:spacing w:val="0"/>
          <w:szCs w:val="22"/>
          <w:lang w:eastAsia="cs-CZ" w:bidi="ar-SA"/>
        </w:rPr>
        <w:t>ň</w:t>
      </w:r>
      <w:r w:rsidRPr="00F36BFF">
        <w:rPr>
          <w:rFonts w:eastAsia="Times New Roman"/>
          <w:spacing w:val="0"/>
          <w:szCs w:val="22"/>
          <w:lang w:eastAsia="cs-CZ" w:bidi="ar-SA"/>
        </w:rPr>
        <w:t>ování pod vlivem momentáln</w:t>
      </w:r>
      <w:r>
        <w:rPr>
          <w:rFonts w:eastAsia="Times New Roman"/>
          <w:spacing w:val="0"/>
          <w:szCs w:val="22"/>
          <w:lang w:eastAsia="cs-CZ" w:bidi="ar-SA"/>
        </w:rPr>
        <w:t>ě</w:t>
      </w:r>
      <w:r w:rsidRPr="00F36BFF">
        <w:rPr>
          <w:rFonts w:eastAsia="Times New Roman"/>
          <w:spacing w:val="0"/>
          <w:szCs w:val="22"/>
          <w:lang w:eastAsia="cs-CZ" w:bidi="ar-SA"/>
        </w:rPr>
        <w:t xml:space="preserve"> poskytovaných dotací na zalesn</w:t>
      </w:r>
      <w:r>
        <w:rPr>
          <w:rFonts w:eastAsia="Times New Roman"/>
          <w:spacing w:val="0"/>
          <w:szCs w:val="22"/>
          <w:lang w:eastAsia="cs-CZ" w:bidi="ar-SA"/>
        </w:rPr>
        <w:t>ě</w:t>
      </w:r>
      <w:r w:rsidRPr="00F36BFF">
        <w:rPr>
          <w:rFonts w:eastAsia="Times New Roman"/>
          <w:spacing w:val="0"/>
          <w:szCs w:val="22"/>
          <w:lang w:eastAsia="cs-CZ" w:bidi="ar-SA"/>
        </w:rPr>
        <w:t>ní bez</w:t>
      </w:r>
      <w:r>
        <w:rPr>
          <w:rFonts w:eastAsia="Times New Roman"/>
          <w:spacing w:val="0"/>
          <w:szCs w:val="22"/>
          <w:lang w:eastAsia="cs-CZ" w:bidi="ar-SA"/>
        </w:rPr>
        <w:t xml:space="preserve"> </w:t>
      </w:r>
      <w:r w:rsidRPr="00F36BFF">
        <w:rPr>
          <w:rFonts w:eastAsia="Times New Roman"/>
          <w:spacing w:val="0"/>
          <w:szCs w:val="22"/>
          <w:lang w:eastAsia="cs-CZ" w:bidi="ar-SA"/>
        </w:rPr>
        <w:t>zohledn</w:t>
      </w:r>
      <w:r>
        <w:rPr>
          <w:rFonts w:eastAsia="Times New Roman"/>
          <w:spacing w:val="0"/>
          <w:szCs w:val="22"/>
          <w:lang w:eastAsia="cs-CZ" w:bidi="ar-SA"/>
        </w:rPr>
        <w:t>ě</w:t>
      </w:r>
      <w:r w:rsidRPr="00F36BFF">
        <w:rPr>
          <w:rFonts w:eastAsia="Times New Roman"/>
          <w:spacing w:val="0"/>
          <w:szCs w:val="22"/>
          <w:lang w:eastAsia="cs-CZ" w:bidi="ar-SA"/>
        </w:rPr>
        <w:t>ní jiných možností využití pudy. Dalším rizikem je odnímání p</w:t>
      </w:r>
      <w:r>
        <w:rPr>
          <w:rFonts w:eastAsia="Times New Roman"/>
          <w:spacing w:val="0"/>
          <w:szCs w:val="22"/>
          <w:lang w:eastAsia="cs-CZ" w:bidi="ar-SA"/>
        </w:rPr>
        <w:t>ů</w:t>
      </w:r>
      <w:r w:rsidRPr="00F36BFF">
        <w:rPr>
          <w:rFonts w:eastAsia="Times New Roman"/>
          <w:spacing w:val="0"/>
          <w:szCs w:val="22"/>
          <w:lang w:eastAsia="cs-CZ" w:bidi="ar-SA"/>
        </w:rPr>
        <w:t>dy ze ZPF pro</w:t>
      </w:r>
      <w:r>
        <w:rPr>
          <w:rFonts w:eastAsia="Times New Roman"/>
          <w:spacing w:val="0"/>
          <w:szCs w:val="22"/>
          <w:lang w:eastAsia="cs-CZ" w:bidi="ar-SA"/>
        </w:rPr>
        <w:t xml:space="preserve"> </w:t>
      </w:r>
      <w:r w:rsidRPr="00F36BFF">
        <w:rPr>
          <w:rFonts w:eastAsia="Times New Roman"/>
          <w:spacing w:val="0"/>
          <w:szCs w:val="22"/>
          <w:lang w:eastAsia="cs-CZ" w:bidi="ar-SA"/>
        </w:rPr>
        <w:t>nezem</w:t>
      </w:r>
      <w:r>
        <w:rPr>
          <w:rFonts w:eastAsia="Times New Roman"/>
          <w:spacing w:val="0"/>
          <w:szCs w:val="22"/>
          <w:lang w:eastAsia="cs-CZ" w:bidi="ar-SA"/>
        </w:rPr>
        <w:t>ě</w:t>
      </w:r>
      <w:r w:rsidRPr="00F36BFF">
        <w:rPr>
          <w:rFonts w:eastAsia="Times New Roman"/>
          <w:spacing w:val="0"/>
          <w:szCs w:val="22"/>
          <w:lang w:eastAsia="cs-CZ" w:bidi="ar-SA"/>
        </w:rPr>
        <w:t>d</w:t>
      </w:r>
      <w:r>
        <w:rPr>
          <w:rFonts w:eastAsia="Times New Roman"/>
          <w:spacing w:val="0"/>
          <w:szCs w:val="22"/>
          <w:lang w:eastAsia="cs-CZ" w:bidi="ar-SA"/>
        </w:rPr>
        <w:t>ě</w:t>
      </w:r>
      <w:r w:rsidRPr="00F36BFF">
        <w:rPr>
          <w:rFonts w:eastAsia="Times New Roman"/>
          <w:spacing w:val="0"/>
          <w:szCs w:val="22"/>
          <w:lang w:eastAsia="cs-CZ" w:bidi="ar-SA"/>
        </w:rPr>
        <w:t>lské ú</w:t>
      </w:r>
      <w:r>
        <w:rPr>
          <w:rFonts w:eastAsia="Times New Roman"/>
          <w:spacing w:val="0"/>
          <w:szCs w:val="22"/>
          <w:lang w:eastAsia="cs-CZ" w:bidi="ar-SA"/>
        </w:rPr>
        <w:t>č</w:t>
      </w:r>
      <w:r w:rsidRPr="00F36BFF">
        <w:rPr>
          <w:rFonts w:eastAsia="Times New Roman"/>
          <w:spacing w:val="0"/>
          <w:szCs w:val="22"/>
          <w:lang w:eastAsia="cs-CZ" w:bidi="ar-SA"/>
        </w:rPr>
        <w:t>ely bez zohledn</w:t>
      </w:r>
      <w:r>
        <w:rPr>
          <w:rFonts w:eastAsia="Times New Roman"/>
          <w:spacing w:val="0"/>
          <w:szCs w:val="22"/>
          <w:lang w:eastAsia="cs-CZ" w:bidi="ar-SA"/>
        </w:rPr>
        <w:t>ě</w:t>
      </w:r>
      <w:r w:rsidRPr="00F36BFF">
        <w:rPr>
          <w:rFonts w:eastAsia="Times New Roman"/>
          <w:spacing w:val="0"/>
          <w:szCs w:val="22"/>
          <w:lang w:eastAsia="cs-CZ" w:bidi="ar-SA"/>
        </w:rPr>
        <w:t>ní jiných možností využití pudy</w:t>
      </w:r>
      <w:r>
        <w:rPr>
          <w:rFonts w:eastAsia="Times New Roman"/>
          <w:spacing w:val="0"/>
          <w:szCs w:val="22"/>
          <w:lang w:eastAsia="cs-CZ" w:bidi="ar-SA"/>
        </w:rPr>
        <w:t>,</w:t>
      </w:r>
      <w:r w:rsidRPr="00F36BFF">
        <w:rPr>
          <w:rFonts w:eastAsia="Times New Roman"/>
          <w:spacing w:val="0"/>
          <w:szCs w:val="22"/>
          <w:lang w:eastAsia="cs-CZ" w:bidi="ar-SA"/>
        </w:rPr>
        <w:t xml:space="preserve"> nap</w:t>
      </w:r>
      <w:r>
        <w:rPr>
          <w:rFonts w:eastAsia="Times New Roman"/>
          <w:spacing w:val="0"/>
          <w:szCs w:val="22"/>
          <w:lang w:eastAsia="cs-CZ" w:bidi="ar-SA"/>
        </w:rPr>
        <w:t>ř</w:t>
      </w:r>
      <w:r w:rsidRPr="00F36BFF">
        <w:rPr>
          <w:rFonts w:eastAsia="Times New Roman"/>
          <w:spacing w:val="0"/>
          <w:szCs w:val="22"/>
          <w:lang w:eastAsia="cs-CZ" w:bidi="ar-SA"/>
        </w:rPr>
        <w:t>. k pln</w:t>
      </w:r>
      <w:r>
        <w:rPr>
          <w:rFonts w:eastAsia="Times New Roman"/>
          <w:spacing w:val="0"/>
          <w:szCs w:val="22"/>
          <w:lang w:eastAsia="cs-CZ" w:bidi="ar-SA"/>
        </w:rPr>
        <w:t>ě</w:t>
      </w:r>
      <w:r w:rsidRPr="00F36BFF">
        <w:rPr>
          <w:rFonts w:eastAsia="Times New Roman"/>
          <w:spacing w:val="0"/>
          <w:szCs w:val="22"/>
          <w:lang w:eastAsia="cs-CZ" w:bidi="ar-SA"/>
        </w:rPr>
        <w:t>ní mimoproduk</w:t>
      </w:r>
      <w:r>
        <w:rPr>
          <w:rFonts w:eastAsia="Times New Roman"/>
          <w:spacing w:val="0"/>
          <w:szCs w:val="22"/>
          <w:lang w:eastAsia="cs-CZ" w:bidi="ar-SA"/>
        </w:rPr>
        <w:t>č</w:t>
      </w:r>
      <w:r w:rsidRPr="00F36BFF">
        <w:rPr>
          <w:rFonts w:eastAsia="Times New Roman"/>
          <w:spacing w:val="0"/>
          <w:szCs w:val="22"/>
          <w:lang w:eastAsia="cs-CZ" w:bidi="ar-SA"/>
        </w:rPr>
        <w:t>ní</w:t>
      </w:r>
      <w:r>
        <w:rPr>
          <w:rFonts w:eastAsia="Times New Roman"/>
          <w:spacing w:val="0"/>
          <w:szCs w:val="22"/>
          <w:lang w:eastAsia="cs-CZ" w:bidi="ar-SA"/>
        </w:rPr>
        <w:t xml:space="preserve"> </w:t>
      </w:r>
      <w:r w:rsidRPr="00F36BFF">
        <w:rPr>
          <w:rFonts w:eastAsia="Times New Roman"/>
          <w:spacing w:val="0"/>
          <w:szCs w:val="22"/>
          <w:lang w:eastAsia="cs-CZ" w:bidi="ar-SA"/>
        </w:rPr>
        <w:t xml:space="preserve">funkce. </w:t>
      </w:r>
      <w:r>
        <w:rPr>
          <w:rFonts w:eastAsia="Times New Roman"/>
          <w:spacing w:val="0"/>
          <w:szCs w:val="22"/>
          <w:lang w:eastAsia="cs-CZ" w:bidi="ar-SA"/>
        </w:rPr>
        <w:t>V</w:t>
      </w:r>
      <w:r w:rsidRPr="00F36BFF">
        <w:rPr>
          <w:rFonts w:eastAsia="Times New Roman"/>
          <w:spacing w:val="0"/>
          <w:szCs w:val="22"/>
          <w:lang w:eastAsia="cs-CZ" w:bidi="ar-SA"/>
        </w:rPr>
        <w:t>zhledem k podílu ZPF v celkové vým</w:t>
      </w:r>
      <w:r>
        <w:rPr>
          <w:rFonts w:eastAsia="Times New Roman"/>
          <w:spacing w:val="0"/>
          <w:szCs w:val="22"/>
          <w:lang w:eastAsia="cs-CZ" w:bidi="ar-SA"/>
        </w:rPr>
        <w:t>ěř</w:t>
      </w:r>
      <w:r w:rsidRPr="00F36BFF">
        <w:rPr>
          <w:rFonts w:eastAsia="Times New Roman"/>
          <w:spacing w:val="0"/>
          <w:szCs w:val="22"/>
          <w:lang w:eastAsia="cs-CZ" w:bidi="ar-SA"/>
        </w:rPr>
        <w:t>e obce</w:t>
      </w:r>
      <w:r>
        <w:rPr>
          <w:rFonts w:eastAsia="Times New Roman"/>
          <w:spacing w:val="0"/>
          <w:szCs w:val="22"/>
          <w:lang w:eastAsia="cs-CZ" w:bidi="ar-SA"/>
        </w:rPr>
        <w:t xml:space="preserve"> je vhodné</w:t>
      </w:r>
      <w:r w:rsidRPr="00F36BFF">
        <w:rPr>
          <w:rFonts w:eastAsia="Times New Roman"/>
          <w:spacing w:val="0"/>
          <w:szCs w:val="22"/>
          <w:lang w:eastAsia="cs-CZ" w:bidi="ar-SA"/>
        </w:rPr>
        <w:t xml:space="preserve"> podporovat</w:t>
      </w:r>
      <w:r>
        <w:rPr>
          <w:rFonts w:eastAsia="Times New Roman"/>
          <w:spacing w:val="0"/>
          <w:szCs w:val="22"/>
          <w:lang w:eastAsia="cs-CZ" w:bidi="ar-SA"/>
        </w:rPr>
        <w:t xml:space="preserve"> </w:t>
      </w:r>
      <w:r w:rsidRPr="00F36BFF">
        <w:rPr>
          <w:rFonts w:eastAsia="Times New Roman"/>
          <w:spacing w:val="0"/>
          <w:szCs w:val="22"/>
          <w:lang w:eastAsia="cs-CZ" w:bidi="ar-SA"/>
        </w:rPr>
        <w:t>zem</w:t>
      </w:r>
      <w:r>
        <w:rPr>
          <w:rFonts w:eastAsia="Times New Roman"/>
          <w:spacing w:val="0"/>
          <w:szCs w:val="22"/>
          <w:lang w:eastAsia="cs-CZ" w:bidi="ar-SA"/>
        </w:rPr>
        <w:t>ě</w:t>
      </w:r>
      <w:r w:rsidRPr="00F36BFF">
        <w:rPr>
          <w:rFonts w:eastAsia="Times New Roman"/>
          <w:spacing w:val="0"/>
          <w:szCs w:val="22"/>
          <w:lang w:eastAsia="cs-CZ" w:bidi="ar-SA"/>
        </w:rPr>
        <w:t>d</w:t>
      </w:r>
      <w:r>
        <w:rPr>
          <w:rFonts w:eastAsia="Times New Roman"/>
          <w:spacing w:val="0"/>
          <w:szCs w:val="22"/>
          <w:lang w:eastAsia="cs-CZ" w:bidi="ar-SA"/>
        </w:rPr>
        <w:t>ě</w:t>
      </w:r>
      <w:r w:rsidRPr="00F36BFF">
        <w:rPr>
          <w:rFonts w:eastAsia="Times New Roman"/>
          <w:spacing w:val="0"/>
          <w:szCs w:val="22"/>
          <w:lang w:eastAsia="cs-CZ" w:bidi="ar-SA"/>
        </w:rPr>
        <w:t xml:space="preserve">lskou </w:t>
      </w:r>
      <w:r>
        <w:rPr>
          <w:rFonts w:eastAsia="Times New Roman"/>
          <w:spacing w:val="0"/>
          <w:szCs w:val="22"/>
          <w:lang w:eastAsia="cs-CZ" w:bidi="ar-SA"/>
        </w:rPr>
        <w:t>č</w:t>
      </w:r>
      <w:r w:rsidRPr="00F36BFF">
        <w:rPr>
          <w:rFonts w:eastAsia="Times New Roman"/>
          <w:spacing w:val="0"/>
          <w:szCs w:val="22"/>
          <w:lang w:eastAsia="cs-CZ" w:bidi="ar-SA"/>
        </w:rPr>
        <w:t>innost nebo aktivity využívající</w:t>
      </w:r>
      <w:r>
        <w:rPr>
          <w:rFonts w:eastAsia="Times New Roman"/>
          <w:spacing w:val="0"/>
          <w:szCs w:val="22"/>
          <w:lang w:eastAsia="cs-CZ" w:bidi="ar-SA"/>
        </w:rPr>
        <w:t>ch</w:t>
      </w:r>
      <w:r w:rsidRPr="00F36BFF">
        <w:rPr>
          <w:rFonts w:eastAsia="Times New Roman"/>
          <w:spacing w:val="0"/>
          <w:szCs w:val="22"/>
          <w:lang w:eastAsia="cs-CZ" w:bidi="ar-SA"/>
        </w:rPr>
        <w:t xml:space="preserve"> mimoproduk</w:t>
      </w:r>
      <w:r>
        <w:rPr>
          <w:rFonts w:eastAsia="Times New Roman"/>
          <w:spacing w:val="0"/>
          <w:szCs w:val="22"/>
          <w:lang w:eastAsia="cs-CZ" w:bidi="ar-SA"/>
        </w:rPr>
        <w:t>č</w:t>
      </w:r>
      <w:r w:rsidRPr="00F36BFF">
        <w:rPr>
          <w:rFonts w:eastAsia="Times New Roman"/>
          <w:spacing w:val="0"/>
          <w:szCs w:val="22"/>
          <w:lang w:eastAsia="cs-CZ" w:bidi="ar-SA"/>
        </w:rPr>
        <w:t>ních schopností p</w:t>
      </w:r>
      <w:r w:rsidR="00C004A5">
        <w:rPr>
          <w:rFonts w:eastAsia="Times New Roman"/>
          <w:spacing w:val="0"/>
          <w:szCs w:val="22"/>
          <w:lang w:eastAsia="cs-CZ" w:bidi="ar-SA"/>
        </w:rPr>
        <w:t>ů</w:t>
      </w:r>
      <w:r w:rsidRPr="00F36BFF">
        <w:rPr>
          <w:rFonts w:eastAsia="Times New Roman"/>
          <w:spacing w:val="0"/>
          <w:szCs w:val="22"/>
          <w:lang w:eastAsia="cs-CZ" w:bidi="ar-SA"/>
        </w:rPr>
        <w:t>dy.</w:t>
      </w:r>
    </w:p>
    <w:p w:rsidR="00C004A5" w:rsidRDefault="00C004A5" w:rsidP="003C564F">
      <w:pPr>
        <w:spacing w:before="0" w:after="120"/>
        <w:rPr>
          <w:rFonts w:eastAsia="Times New Roman"/>
          <w:spacing w:val="0"/>
          <w:szCs w:val="22"/>
          <w:lang w:eastAsia="cs-CZ" w:bidi="ar-SA"/>
        </w:rPr>
      </w:pPr>
    </w:p>
    <w:p w:rsidR="00C004A5" w:rsidRDefault="00C004A5" w:rsidP="003C564F">
      <w:pPr>
        <w:spacing w:before="0" w:after="120"/>
      </w:pPr>
    </w:p>
    <w:p w:rsidR="00B9565D" w:rsidRDefault="00B9565D" w:rsidP="003C564F">
      <w:pPr>
        <w:spacing w:before="0" w:after="120"/>
      </w:pPr>
    </w:p>
    <w:p w:rsidR="00B9565D" w:rsidRDefault="00B9565D" w:rsidP="003C564F">
      <w:pPr>
        <w:spacing w:before="0" w:after="120"/>
      </w:pPr>
    </w:p>
    <w:p w:rsidR="00B9565D" w:rsidRPr="005916D8" w:rsidRDefault="00B9565D" w:rsidP="003C564F">
      <w:pPr>
        <w:spacing w:before="0" w:after="120"/>
      </w:pPr>
    </w:p>
    <w:tbl>
      <w:tblPr>
        <w:tblW w:w="0" w:type="auto"/>
        <w:tblLook w:val="04A0" w:firstRow="1" w:lastRow="0" w:firstColumn="1" w:lastColumn="0" w:noHBand="0" w:noVBand="1"/>
      </w:tblPr>
      <w:tblGrid>
        <w:gridCol w:w="4726"/>
        <w:gridCol w:w="4726"/>
      </w:tblGrid>
      <w:tr w:rsidR="003C564F" w:rsidRPr="00B47809" w:rsidTr="00066312">
        <w:tc>
          <w:tcPr>
            <w:tcW w:w="4726" w:type="dxa"/>
            <w:shd w:val="clear" w:color="auto" w:fill="auto"/>
          </w:tcPr>
          <w:p w:rsidR="003C564F" w:rsidRPr="007026C2" w:rsidRDefault="001B340A" w:rsidP="00066312">
            <w:pPr>
              <w:spacing w:before="120" w:after="120"/>
              <w:jc w:val="left"/>
            </w:pPr>
            <w:bookmarkStart w:id="116" w:name="_Toc516058999"/>
            <w:r w:rsidRPr="00F42013">
              <w:rPr>
                <w:rFonts w:cs="Arial-ItalicMT" w:hint="eastAsia"/>
                <w:b/>
                <w:bCs/>
                <w:iCs/>
                <w:color w:val="372C74"/>
                <w:spacing w:val="10"/>
                <w:sz w:val="18"/>
                <w:szCs w:val="22"/>
              </w:rPr>
              <w:lastRenderedPageBreak/>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34</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Třídy ochrany půdy (BPEJ)</w:t>
            </w:r>
            <w:bookmarkEnd w:id="116"/>
          </w:p>
        </w:tc>
        <w:tc>
          <w:tcPr>
            <w:tcW w:w="4726" w:type="dxa"/>
            <w:shd w:val="clear" w:color="auto" w:fill="auto"/>
          </w:tcPr>
          <w:p w:rsidR="003C564F" w:rsidRPr="007026C2" w:rsidRDefault="001B340A" w:rsidP="00066312">
            <w:pPr>
              <w:spacing w:before="120" w:after="120"/>
              <w:jc w:val="left"/>
              <w:rPr>
                <w:rFonts w:ascii="Cambria Math" w:hAnsi="Cambria Math" w:hint="eastAsia"/>
              </w:rPr>
            </w:pPr>
            <w:bookmarkStart w:id="117" w:name="_Toc516059000"/>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35</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Kategorie lesa</w:t>
            </w:r>
            <w:bookmarkEnd w:id="117"/>
          </w:p>
        </w:tc>
      </w:tr>
      <w:tr w:rsidR="003C564F" w:rsidRPr="00B47809" w:rsidTr="00066312">
        <w:trPr>
          <w:trHeight w:val="3392"/>
        </w:trPr>
        <w:tc>
          <w:tcPr>
            <w:tcW w:w="4726" w:type="dxa"/>
            <w:shd w:val="clear" w:color="auto" w:fill="auto"/>
          </w:tcPr>
          <w:p w:rsidR="003C564F" w:rsidRPr="00B47809" w:rsidRDefault="003C564F" w:rsidP="00066312">
            <w:pPr>
              <w:spacing w:before="120" w:after="120"/>
              <w:jc w:val="left"/>
            </w:pPr>
            <w:r>
              <w:rPr>
                <w:noProof/>
                <w:color w:val="372C74"/>
                <w:lang w:eastAsia="cs-CZ" w:bidi="ar-SA"/>
              </w:rPr>
              <w:drawing>
                <wp:anchor distT="0" distB="0" distL="114300" distR="114300" simplePos="0" relativeHeight="251676672" behindDoc="0" locked="0" layoutInCell="1" allowOverlap="1">
                  <wp:simplePos x="0" y="0"/>
                  <wp:positionH relativeFrom="column">
                    <wp:posOffset>17780</wp:posOffset>
                  </wp:positionH>
                  <wp:positionV relativeFrom="paragraph">
                    <wp:posOffset>3293745</wp:posOffset>
                  </wp:positionV>
                  <wp:extent cx="629285" cy="722630"/>
                  <wp:effectExtent l="19050" t="0" r="0" b="0"/>
                  <wp:wrapSquare wrapText="bothSides"/>
                  <wp:docPr id="94"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a:picLocks noChangeAspect="1" noChangeArrowheads="1"/>
                          </pic:cNvPicPr>
                        </pic:nvPicPr>
                        <pic:blipFill>
                          <a:blip r:embed="rId48"/>
                          <a:srcRect/>
                          <a:stretch>
                            <a:fillRect/>
                          </a:stretch>
                        </pic:blipFill>
                        <pic:spPr bwMode="auto">
                          <a:xfrm>
                            <a:off x="0" y="0"/>
                            <a:ext cx="629285" cy="722630"/>
                          </a:xfrm>
                          <a:prstGeom prst="rect">
                            <a:avLst/>
                          </a:prstGeom>
                          <a:noFill/>
                          <a:ln w="9525">
                            <a:noFill/>
                            <a:miter lim="800000"/>
                            <a:headEnd/>
                            <a:tailEnd/>
                          </a:ln>
                        </pic:spPr>
                      </pic:pic>
                    </a:graphicData>
                  </a:graphic>
                </wp:anchor>
              </w:drawing>
            </w:r>
            <w:r>
              <w:rPr>
                <w:noProof/>
                <w:color w:val="372C74"/>
                <w:lang w:eastAsia="cs-CZ" w:bidi="ar-SA"/>
              </w:rPr>
              <w:drawing>
                <wp:inline distT="0" distB="0" distL="0" distR="0">
                  <wp:extent cx="2819400" cy="3095625"/>
                  <wp:effectExtent l="19050" t="0" r="0" b="0"/>
                  <wp:docPr id="4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49"/>
                          <a:srcRect/>
                          <a:stretch>
                            <a:fillRect/>
                          </a:stretch>
                        </pic:blipFill>
                        <pic:spPr bwMode="auto">
                          <a:xfrm>
                            <a:off x="0" y="0"/>
                            <a:ext cx="2819400" cy="3095625"/>
                          </a:xfrm>
                          <a:prstGeom prst="rect">
                            <a:avLst/>
                          </a:prstGeom>
                          <a:noFill/>
                          <a:ln w="9525">
                            <a:noFill/>
                            <a:miter lim="800000"/>
                            <a:headEnd/>
                            <a:tailEnd/>
                          </a:ln>
                        </pic:spPr>
                      </pic:pic>
                    </a:graphicData>
                  </a:graphic>
                </wp:inline>
              </w:drawing>
            </w:r>
          </w:p>
        </w:tc>
        <w:tc>
          <w:tcPr>
            <w:tcW w:w="4726" w:type="dxa"/>
            <w:shd w:val="clear" w:color="auto" w:fill="auto"/>
          </w:tcPr>
          <w:p w:rsidR="003C564F" w:rsidRPr="00B47809" w:rsidRDefault="003C564F" w:rsidP="00066312">
            <w:pPr>
              <w:spacing w:before="120" w:after="120"/>
              <w:jc w:val="left"/>
            </w:pPr>
            <w:r>
              <w:rPr>
                <w:noProof/>
                <w:lang w:eastAsia="cs-CZ" w:bidi="ar-SA"/>
              </w:rPr>
              <w:drawing>
                <wp:anchor distT="0" distB="0" distL="114300" distR="114300" simplePos="0" relativeHeight="251677696" behindDoc="0" locked="0" layoutInCell="1" allowOverlap="1">
                  <wp:simplePos x="0" y="0"/>
                  <wp:positionH relativeFrom="column">
                    <wp:posOffset>-1270</wp:posOffset>
                  </wp:positionH>
                  <wp:positionV relativeFrom="paragraph">
                    <wp:posOffset>3289300</wp:posOffset>
                  </wp:positionV>
                  <wp:extent cx="2766060" cy="552450"/>
                  <wp:effectExtent l="19050" t="0" r="0" b="0"/>
                  <wp:wrapSquare wrapText="bothSides"/>
                  <wp:docPr id="93"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pic:cNvPicPr>
                            <a:picLocks noChangeAspect="1" noChangeArrowheads="1"/>
                          </pic:cNvPicPr>
                        </pic:nvPicPr>
                        <pic:blipFill>
                          <a:blip r:embed="rId50"/>
                          <a:srcRect/>
                          <a:stretch>
                            <a:fillRect/>
                          </a:stretch>
                        </pic:blipFill>
                        <pic:spPr bwMode="auto">
                          <a:xfrm>
                            <a:off x="0" y="0"/>
                            <a:ext cx="2766060" cy="552450"/>
                          </a:xfrm>
                          <a:prstGeom prst="rect">
                            <a:avLst/>
                          </a:prstGeom>
                          <a:solidFill>
                            <a:srgbClr val="FFFFFF">
                              <a:alpha val="0"/>
                            </a:srgbClr>
                          </a:solidFill>
                          <a:ln w="9525">
                            <a:noFill/>
                            <a:miter lim="800000"/>
                            <a:headEnd/>
                            <a:tailEnd/>
                          </a:ln>
                        </pic:spPr>
                      </pic:pic>
                    </a:graphicData>
                  </a:graphic>
                </wp:anchor>
              </w:drawing>
            </w:r>
            <w:r>
              <w:rPr>
                <w:noProof/>
                <w:lang w:eastAsia="cs-CZ" w:bidi="ar-SA"/>
              </w:rPr>
              <w:drawing>
                <wp:inline distT="0" distB="0" distL="0" distR="0">
                  <wp:extent cx="2781300" cy="3095625"/>
                  <wp:effectExtent l="19050" t="0" r="0" b="0"/>
                  <wp:docPr id="41"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51"/>
                          <a:srcRect/>
                          <a:stretch>
                            <a:fillRect/>
                          </a:stretch>
                        </pic:blipFill>
                        <pic:spPr bwMode="auto">
                          <a:xfrm>
                            <a:off x="0" y="0"/>
                            <a:ext cx="2781300" cy="3095625"/>
                          </a:xfrm>
                          <a:prstGeom prst="rect">
                            <a:avLst/>
                          </a:prstGeom>
                          <a:noFill/>
                          <a:ln w="9525">
                            <a:noFill/>
                            <a:miter lim="800000"/>
                            <a:headEnd/>
                            <a:tailEnd/>
                          </a:ln>
                        </pic:spPr>
                      </pic:pic>
                    </a:graphicData>
                  </a:graphic>
                </wp:inline>
              </w:drawing>
            </w:r>
          </w:p>
        </w:tc>
      </w:tr>
    </w:tbl>
    <w:p w:rsidR="003C564F" w:rsidRPr="005916D8" w:rsidRDefault="003C564F" w:rsidP="003C564F">
      <w:pPr>
        <w:spacing w:before="0"/>
        <w:rPr>
          <w:sz w:val="16"/>
          <w:szCs w:val="16"/>
        </w:rPr>
      </w:pPr>
      <w:r w:rsidRPr="005916D8">
        <w:rPr>
          <w:sz w:val="16"/>
          <w:szCs w:val="16"/>
        </w:rPr>
        <w:t>Zdroj: BPEJ k 1.7.2017 (SPÚ)</w:t>
      </w:r>
      <w:r>
        <w:rPr>
          <w:sz w:val="16"/>
          <w:szCs w:val="16"/>
        </w:rPr>
        <w:t>; Ústav pro hospodářskou úpravu lesa</w:t>
      </w:r>
    </w:p>
    <w:p w:rsidR="003C564F" w:rsidRPr="00756A5B" w:rsidRDefault="003C564F" w:rsidP="003C564F">
      <w:pPr>
        <w:pStyle w:val="Nadpis6"/>
      </w:pPr>
      <w:r w:rsidRPr="00756A5B">
        <w:t>Eroze a erozní ohroženost území</w:t>
      </w:r>
    </w:p>
    <w:p w:rsidR="003C564F" w:rsidRPr="00E03E82" w:rsidRDefault="003C564F" w:rsidP="003C564F">
      <w:pPr>
        <w:spacing w:before="120" w:after="120"/>
      </w:pPr>
      <w:r w:rsidRPr="00E03E82">
        <w:t xml:space="preserve">Řešení protierozní ochrany území je zapotřebí vnímat jako komplex prostorových a funkčních opatření pro zlepšení podmínek využití území, pro zvýšení retenční schopnosti území schopnosti území zadržet přívalové srážky, což má ve svém důsledku vést ke snižování eroze území a zároveň omezení odtoku či transportu splavenin. </w:t>
      </w:r>
    </w:p>
    <w:p w:rsidR="003C564F" w:rsidRPr="00011932" w:rsidRDefault="003C564F" w:rsidP="003C564F">
      <w:pPr>
        <w:spacing w:before="120" w:after="120"/>
      </w:pPr>
      <w:r w:rsidRPr="00011932">
        <w:t>Území města Ostrov je ohroženo vodní erozí, pro kterou je nejlepší zavést opatření charakteru organizačního, agrotechnického nebo technického a doporučit změny v hospodaření, které omezí erozní smyv, sníží účinky povrchového odtoku a vyplavování látek z půdního fondu a současně zvýší retenční kapacitu území.</w:t>
      </w:r>
      <w:r>
        <w:t xml:space="preserve"> Jedná se o zemědělské sklonitější pozemky, které se nacházejí na více </w:t>
      </w:r>
      <w:r w:rsidRPr="00011932">
        <w:t>lokalitách v území.</w:t>
      </w:r>
    </w:p>
    <w:p w:rsidR="003C564F" w:rsidRDefault="003C564F" w:rsidP="003C564F">
      <w:pPr>
        <w:spacing w:before="120" w:after="120"/>
      </w:pPr>
      <w:bookmarkStart w:id="118" w:name="_Toc393660334"/>
      <w:r w:rsidRPr="00011932">
        <w:t>Riziko větrné eroze je nízké.</w:t>
      </w:r>
    </w:p>
    <w:p w:rsidR="00C004A5" w:rsidRDefault="00C004A5" w:rsidP="003C564F">
      <w:pPr>
        <w:spacing w:before="120" w:after="120"/>
      </w:pPr>
    </w:p>
    <w:p w:rsidR="00C004A5" w:rsidRDefault="00C004A5" w:rsidP="003C564F">
      <w:pPr>
        <w:spacing w:before="120" w:after="120"/>
      </w:pPr>
    </w:p>
    <w:p w:rsidR="00C004A5" w:rsidRDefault="00C004A5" w:rsidP="003C564F">
      <w:pPr>
        <w:spacing w:before="120" w:after="120"/>
      </w:pPr>
    </w:p>
    <w:p w:rsidR="00C004A5" w:rsidRPr="00011932" w:rsidRDefault="00C004A5" w:rsidP="003C564F">
      <w:pPr>
        <w:spacing w:before="120" w:after="120"/>
      </w:pPr>
    </w:p>
    <w:p w:rsidR="003C564F" w:rsidRDefault="001B340A" w:rsidP="003C564F">
      <w:pPr>
        <w:spacing w:before="120" w:after="120"/>
        <w:rPr>
          <w:sz w:val="18"/>
          <w:szCs w:val="18"/>
        </w:rPr>
      </w:pPr>
      <w:bookmarkStart w:id="119" w:name="_Toc516059001"/>
      <w:r w:rsidRPr="00F42013">
        <w:rPr>
          <w:rFonts w:cs="Arial-ItalicMT" w:hint="eastAsia"/>
          <w:b/>
          <w:bCs/>
          <w:iCs/>
          <w:color w:val="372C74"/>
          <w:spacing w:val="10"/>
          <w:sz w:val="18"/>
          <w:szCs w:val="22"/>
        </w:rPr>
        <w:lastRenderedPageBreak/>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36</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E03E82">
        <w:rPr>
          <w:rFonts w:cs="Arial-ItalicMT"/>
          <w:iCs/>
          <w:sz w:val="18"/>
          <w:szCs w:val="18"/>
        </w:rPr>
        <w:t xml:space="preserve">– </w:t>
      </w:r>
      <w:bookmarkEnd w:id="118"/>
      <w:r w:rsidR="003C564F" w:rsidRPr="00E03E82">
        <w:rPr>
          <w:sz w:val="18"/>
          <w:szCs w:val="18"/>
        </w:rPr>
        <w:t>Ohroženost půd vodní erozí</w:t>
      </w:r>
      <w:bookmarkEnd w:id="119"/>
    </w:p>
    <w:p w:rsidR="003C564F" w:rsidRPr="00E03E82" w:rsidRDefault="003C564F" w:rsidP="003C564F">
      <w:pPr>
        <w:spacing w:before="120" w:after="120"/>
      </w:pPr>
      <w:r>
        <w:rPr>
          <w:noProof/>
          <w:lang w:eastAsia="cs-CZ" w:bidi="ar-SA"/>
        </w:rPr>
        <w:drawing>
          <wp:inline distT="0" distB="0" distL="0" distR="0">
            <wp:extent cx="3209925" cy="3638550"/>
            <wp:effectExtent l="19050" t="0" r="9525" b="0"/>
            <wp:docPr id="40"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srcRect/>
                    <a:stretch>
                      <a:fillRect/>
                    </a:stretch>
                  </pic:blipFill>
                  <pic:spPr bwMode="auto">
                    <a:xfrm>
                      <a:off x="0" y="0"/>
                      <a:ext cx="3209925" cy="3638550"/>
                    </a:xfrm>
                    <a:prstGeom prst="rect">
                      <a:avLst/>
                    </a:prstGeom>
                    <a:noFill/>
                    <a:ln w="9525">
                      <a:noFill/>
                      <a:miter lim="800000"/>
                      <a:headEnd/>
                      <a:tailEnd/>
                    </a:ln>
                  </pic:spPr>
                </pic:pic>
              </a:graphicData>
            </a:graphic>
          </wp:inline>
        </w:drawing>
      </w:r>
    </w:p>
    <w:p w:rsidR="003C564F" w:rsidRPr="00E03E82" w:rsidRDefault="003C564F" w:rsidP="003C564F">
      <w:pPr>
        <w:spacing w:before="0"/>
        <w:rPr>
          <w:sz w:val="16"/>
          <w:szCs w:val="16"/>
        </w:rPr>
      </w:pPr>
      <w:r w:rsidRPr="00E03E82">
        <w:rPr>
          <w:sz w:val="16"/>
          <w:szCs w:val="16"/>
        </w:rPr>
        <w:t xml:space="preserve">Zdroj: </w:t>
      </w:r>
      <w:hyperlink r:id="rId53" w:history="1">
        <w:r w:rsidRPr="00E03E82">
          <w:rPr>
            <w:rStyle w:val="Hypertextovodkaz"/>
            <w:color w:val="auto"/>
            <w:sz w:val="16"/>
            <w:szCs w:val="16"/>
          </w:rPr>
          <w:t>http://mapy.vumop.cz/</w:t>
        </w:r>
      </w:hyperlink>
      <w:r w:rsidRPr="00E03E82">
        <w:rPr>
          <w:sz w:val="16"/>
          <w:szCs w:val="16"/>
        </w:rPr>
        <w:t xml:space="preserve"> </w:t>
      </w:r>
    </w:p>
    <w:p w:rsidR="003C564F" w:rsidRPr="00011932" w:rsidRDefault="003C564F" w:rsidP="003C564F">
      <w:pPr>
        <w:spacing w:before="120" w:after="120"/>
      </w:pPr>
      <w:r w:rsidRPr="00011932">
        <w:t xml:space="preserve">Dalšími </w:t>
      </w:r>
      <w:r>
        <w:t>možnými</w:t>
      </w:r>
      <w:r w:rsidRPr="00011932">
        <w:t xml:space="preserve"> opatřeními v otázce zamezení erozí území jsou rekultivace, kultivace, zabezpečení svahů před sesuvy nebo asanační opatření kontaminovaných půd. </w:t>
      </w:r>
    </w:p>
    <w:p w:rsidR="003C564F" w:rsidRPr="00756A5B" w:rsidRDefault="003C564F" w:rsidP="003C564F">
      <w:pPr>
        <w:pStyle w:val="Nadpis6"/>
      </w:pPr>
      <w:r w:rsidRPr="00756A5B">
        <w:t>Hluk</w:t>
      </w:r>
    </w:p>
    <w:p w:rsidR="003C564F" w:rsidRDefault="003C564F" w:rsidP="003C564F">
      <w:pPr>
        <w:spacing w:before="120" w:after="120"/>
      </w:pPr>
      <w:r>
        <w:t xml:space="preserve">Hlavním zdrojem hluku je doprava a průmyslová činnost. Městem vede silnice I/13 </w:t>
      </w:r>
      <w:r w:rsidRPr="000E47BE">
        <w:t xml:space="preserve">z Karlových Varů do Liberce, </w:t>
      </w:r>
      <w:r>
        <w:t>v</w:t>
      </w:r>
      <w:r w:rsidRPr="000E47BE">
        <w:t xml:space="preserve"> Ostrově odbočuje silnice I/25 na hraniční přechod Boží Dar. Významné zlepšení </w:t>
      </w:r>
      <w:r>
        <w:t xml:space="preserve">jak hlukové, tak i emisní zátěže přineslo </w:t>
      </w:r>
      <w:r w:rsidRPr="000E47BE">
        <w:t>v roce 2005</w:t>
      </w:r>
      <w:r>
        <w:t xml:space="preserve"> vybudování </w:t>
      </w:r>
      <w:r w:rsidRPr="000E47BE">
        <w:t>silniční</w:t>
      </w:r>
      <w:r>
        <w:t>ho</w:t>
      </w:r>
      <w:r w:rsidRPr="000E47BE">
        <w:t xml:space="preserve"> obchvat</w:t>
      </w:r>
      <w:r>
        <w:t>u</w:t>
      </w:r>
      <w:r w:rsidRPr="000E47BE">
        <w:t>, který obchází město na západě.</w:t>
      </w:r>
      <w:r>
        <w:t xml:space="preserve"> Podle aktuálního sčítání dopravy projede v oblasti nejvíce vozidel právě po zmiňovaném obchvat (cca 12 000 vozidel denně).</w:t>
      </w:r>
    </w:p>
    <w:p w:rsidR="00B9565D" w:rsidRDefault="00B9565D" w:rsidP="003C564F">
      <w:pPr>
        <w:spacing w:before="120" w:after="120"/>
      </w:pPr>
    </w:p>
    <w:p w:rsidR="00B9565D" w:rsidRDefault="00B9565D" w:rsidP="003C564F">
      <w:pPr>
        <w:spacing w:before="120" w:after="120"/>
      </w:pPr>
    </w:p>
    <w:p w:rsidR="00B9565D" w:rsidRDefault="00B9565D" w:rsidP="003C564F">
      <w:pPr>
        <w:spacing w:before="120" w:after="120"/>
      </w:pPr>
    </w:p>
    <w:p w:rsidR="00B9565D" w:rsidRDefault="00B9565D" w:rsidP="003C564F">
      <w:pPr>
        <w:spacing w:before="120" w:after="120"/>
      </w:pPr>
    </w:p>
    <w:p w:rsidR="00B9565D" w:rsidRDefault="00B9565D" w:rsidP="003C564F">
      <w:pPr>
        <w:spacing w:before="120" w:after="120"/>
      </w:pPr>
    </w:p>
    <w:p w:rsidR="00B9565D" w:rsidRDefault="00B9565D" w:rsidP="003C564F">
      <w:pPr>
        <w:spacing w:before="120" w:after="120"/>
      </w:pPr>
    </w:p>
    <w:tbl>
      <w:tblPr>
        <w:tblW w:w="0" w:type="auto"/>
        <w:tblLook w:val="04A0" w:firstRow="1" w:lastRow="0" w:firstColumn="1" w:lastColumn="0" w:noHBand="0" w:noVBand="1"/>
      </w:tblPr>
      <w:tblGrid>
        <w:gridCol w:w="4726"/>
        <w:gridCol w:w="4726"/>
      </w:tblGrid>
      <w:tr w:rsidR="003C564F" w:rsidRPr="00B47809" w:rsidTr="00066312">
        <w:tc>
          <w:tcPr>
            <w:tcW w:w="4726" w:type="dxa"/>
            <w:shd w:val="clear" w:color="auto" w:fill="auto"/>
          </w:tcPr>
          <w:p w:rsidR="003C564F" w:rsidRPr="007026C2" w:rsidRDefault="001B340A" w:rsidP="00066312">
            <w:pPr>
              <w:spacing w:before="120" w:after="120"/>
              <w:jc w:val="left"/>
            </w:pPr>
            <w:bookmarkStart w:id="120" w:name="_Toc516059002"/>
            <w:r w:rsidRPr="00F42013">
              <w:rPr>
                <w:rFonts w:cs="Arial-ItalicMT" w:hint="eastAsia"/>
                <w:b/>
                <w:bCs/>
                <w:iCs/>
                <w:color w:val="372C74"/>
                <w:spacing w:val="10"/>
                <w:sz w:val="18"/>
                <w:szCs w:val="22"/>
              </w:rPr>
              <w:lastRenderedPageBreak/>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37</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 xml:space="preserve">Intenzita dopravy – Ostrov </w:t>
            </w:r>
            <w:r w:rsidR="003C564F" w:rsidRPr="007026C2">
              <w:rPr>
                <w:rStyle w:val="Znakapoznpodarou"/>
                <w:rFonts w:ascii="Cambria Math" w:hAnsi="Cambria Math"/>
                <w:sz w:val="18"/>
                <w:szCs w:val="18"/>
              </w:rPr>
              <w:footnoteReference w:id="19"/>
            </w:r>
            <w:bookmarkEnd w:id="120"/>
          </w:p>
        </w:tc>
        <w:tc>
          <w:tcPr>
            <w:tcW w:w="4726" w:type="dxa"/>
            <w:shd w:val="clear" w:color="auto" w:fill="auto"/>
          </w:tcPr>
          <w:p w:rsidR="003C564F" w:rsidRPr="007026C2" w:rsidRDefault="001B340A" w:rsidP="00066312">
            <w:pPr>
              <w:spacing w:before="120" w:after="120"/>
              <w:jc w:val="left"/>
              <w:rPr>
                <w:rFonts w:ascii="Cambria Math" w:hAnsi="Cambria Math" w:hint="eastAsia"/>
              </w:rPr>
            </w:pPr>
            <w:bookmarkStart w:id="121" w:name="_Toc516059003"/>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38</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7026C2">
              <w:rPr>
                <w:rFonts w:cs="Arial-ItalicMT"/>
                <w:iCs/>
                <w:sz w:val="18"/>
                <w:szCs w:val="18"/>
              </w:rPr>
              <w:t xml:space="preserve">– </w:t>
            </w:r>
            <w:r w:rsidR="003C564F" w:rsidRPr="007026C2">
              <w:rPr>
                <w:sz w:val="18"/>
                <w:szCs w:val="18"/>
              </w:rPr>
              <w:t>Intenzita dopravy – širší okolí</w:t>
            </w:r>
            <w:r w:rsidR="003C564F" w:rsidRPr="007026C2">
              <w:rPr>
                <w:rStyle w:val="Znakapoznpodarou"/>
                <w:sz w:val="18"/>
                <w:szCs w:val="18"/>
              </w:rPr>
              <w:footnoteReference w:id="20"/>
            </w:r>
            <w:bookmarkEnd w:id="121"/>
          </w:p>
        </w:tc>
      </w:tr>
      <w:tr w:rsidR="003C564F" w:rsidRPr="00B47809" w:rsidTr="00066312">
        <w:trPr>
          <w:trHeight w:val="3392"/>
        </w:trPr>
        <w:tc>
          <w:tcPr>
            <w:tcW w:w="4726" w:type="dxa"/>
            <w:shd w:val="clear" w:color="auto" w:fill="auto"/>
            <w:vAlign w:val="center"/>
          </w:tcPr>
          <w:p w:rsidR="003C564F" w:rsidRPr="00B47809" w:rsidRDefault="003C564F" w:rsidP="00066312">
            <w:pPr>
              <w:spacing w:before="120" w:after="120"/>
            </w:pPr>
            <w:r>
              <w:rPr>
                <w:noProof/>
                <w:color w:val="372C74"/>
                <w:lang w:eastAsia="cs-CZ" w:bidi="ar-SA"/>
              </w:rPr>
              <w:drawing>
                <wp:inline distT="0" distB="0" distL="0" distR="0">
                  <wp:extent cx="2838450" cy="3095625"/>
                  <wp:effectExtent l="19050" t="0" r="0" b="0"/>
                  <wp:docPr id="3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8"/>
                          <pic:cNvPicPr>
                            <a:picLocks noChangeAspect="1" noChangeArrowheads="1"/>
                          </pic:cNvPicPr>
                        </pic:nvPicPr>
                        <pic:blipFill>
                          <a:blip r:embed="rId54"/>
                          <a:srcRect/>
                          <a:stretch>
                            <a:fillRect/>
                          </a:stretch>
                        </pic:blipFill>
                        <pic:spPr bwMode="auto">
                          <a:xfrm>
                            <a:off x="0" y="0"/>
                            <a:ext cx="2838450" cy="3095625"/>
                          </a:xfrm>
                          <a:prstGeom prst="rect">
                            <a:avLst/>
                          </a:prstGeom>
                          <a:noFill/>
                          <a:ln w="9525">
                            <a:noFill/>
                            <a:miter lim="800000"/>
                            <a:headEnd/>
                            <a:tailEnd/>
                          </a:ln>
                        </pic:spPr>
                      </pic:pic>
                    </a:graphicData>
                  </a:graphic>
                </wp:inline>
              </w:drawing>
            </w:r>
          </w:p>
        </w:tc>
        <w:tc>
          <w:tcPr>
            <w:tcW w:w="4726" w:type="dxa"/>
            <w:shd w:val="clear" w:color="auto" w:fill="auto"/>
            <w:vAlign w:val="center"/>
          </w:tcPr>
          <w:p w:rsidR="003C564F" w:rsidRPr="00B47809" w:rsidRDefault="003C564F" w:rsidP="00066312">
            <w:pPr>
              <w:spacing w:before="120" w:after="120"/>
            </w:pPr>
            <w:r>
              <w:rPr>
                <w:noProof/>
                <w:lang w:eastAsia="cs-CZ" w:bidi="ar-SA"/>
              </w:rPr>
              <w:drawing>
                <wp:inline distT="0" distB="0" distL="0" distR="0">
                  <wp:extent cx="2781300" cy="3095625"/>
                  <wp:effectExtent l="19050" t="0" r="0" b="0"/>
                  <wp:docPr id="3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1"/>
                          <pic:cNvPicPr>
                            <a:picLocks noChangeAspect="1" noChangeArrowheads="1"/>
                          </pic:cNvPicPr>
                        </pic:nvPicPr>
                        <pic:blipFill>
                          <a:blip r:embed="rId55"/>
                          <a:srcRect/>
                          <a:stretch>
                            <a:fillRect/>
                          </a:stretch>
                        </pic:blipFill>
                        <pic:spPr bwMode="auto">
                          <a:xfrm>
                            <a:off x="0" y="0"/>
                            <a:ext cx="2781300" cy="3095625"/>
                          </a:xfrm>
                          <a:prstGeom prst="rect">
                            <a:avLst/>
                          </a:prstGeom>
                          <a:noFill/>
                          <a:ln w="9525">
                            <a:noFill/>
                            <a:miter lim="800000"/>
                            <a:headEnd/>
                            <a:tailEnd/>
                          </a:ln>
                        </pic:spPr>
                      </pic:pic>
                    </a:graphicData>
                  </a:graphic>
                </wp:inline>
              </w:drawing>
            </w:r>
          </w:p>
        </w:tc>
      </w:tr>
    </w:tbl>
    <w:p w:rsidR="003C564F" w:rsidRPr="00B47809" w:rsidRDefault="003C564F" w:rsidP="003C564F">
      <w:pPr>
        <w:spacing w:before="0"/>
        <w:rPr>
          <w:sz w:val="16"/>
          <w:szCs w:val="16"/>
        </w:rPr>
      </w:pPr>
      <w:r w:rsidRPr="00B47809">
        <w:rPr>
          <w:sz w:val="16"/>
          <w:szCs w:val="16"/>
        </w:rPr>
        <w:t xml:space="preserve">Zdroj: </w:t>
      </w:r>
      <w:r>
        <w:rPr>
          <w:sz w:val="16"/>
          <w:szCs w:val="16"/>
        </w:rPr>
        <w:t>Ředitelství silnic a dálnic</w:t>
      </w:r>
    </w:p>
    <w:p w:rsidR="003C564F" w:rsidRPr="00756A5B" w:rsidRDefault="003C564F" w:rsidP="003C564F">
      <w:pPr>
        <w:pStyle w:val="Nadpis6"/>
      </w:pPr>
      <w:r w:rsidRPr="00756A5B">
        <w:t>Staré ekologické zátěže</w:t>
      </w:r>
    </w:p>
    <w:p w:rsidR="003C564F" w:rsidRPr="009917F0" w:rsidRDefault="003C564F" w:rsidP="003C564F">
      <w:pPr>
        <w:rPr>
          <w:rFonts w:eastAsia="Calibri"/>
          <w:spacing w:val="0"/>
          <w:szCs w:val="22"/>
          <w:lang w:bidi="ar-SA"/>
        </w:rPr>
      </w:pPr>
      <w:r w:rsidRPr="009917F0">
        <w:t xml:space="preserve">Staré ekologické zátěže </w:t>
      </w:r>
      <w:r>
        <w:t>jsou nejčastěji důsledkem průmyslové</w:t>
      </w:r>
      <w:r w:rsidRPr="009917F0">
        <w:t xml:space="preserve"> </w:t>
      </w:r>
      <w:r>
        <w:t>výroby a zemědělské činnosti, nevhodným skladováním nebezpečných látek a nezabezpečeným skládkováním odpadů.</w:t>
      </w:r>
      <w:r w:rsidRPr="009917F0">
        <w:t xml:space="preserve"> </w:t>
      </w:r>
      <w:r>
        <w:t xml:space="preserve">Jsou evidovány v </w:t>
      </w:r>
      <w:r>
        <w:rPr>
          <w:rFonts w:eastAsia="Calibri"/>
          <w:spacing w:val="0"/>
          <w:szCs w:val="22"/>
          <w:lang w:bidi="ar-SA"/>
        </w:rPr>
        <w:t>otevřeném</w:t>
      </w:r>
      <w:r w:rsidRPr="009917F0">
        <w:rPr>
          <w:rFonts w:eastAsia="Calibri"/>
          <w:spacing w:val="0"/>
          <w:szCs w:val="22"/>
          <w:lang w:bidi="ar-SA"/>
        </w:rPr>
        <w:t xml:space="preserve"> systém</w:t>
      </w:r>
      <w:r>
        <w:rPr>
          <w:rFonts w:eastAsia="Calibri"/>
          <w:spacing w:val="0"/>
          <w:szCs w:val="22"/>
          <w:lang w:bidi="ar-SA"/>
        </w:rPr>
        <w:t>u</w:t>
      </w:r>
      <w:r w:rsidRPr="009917F0">
        <w:rPr>
          <w:rFonts w:eastAsia="Calibri"/>
          <w:spacing w:val="0"/>
          <w:szCs w:val="22"/>
          <w:lang w:bidi="ar-SA"/>
        </w:rPr>
        <w:t xml:space="preserve"> evidence kontaminovaných míst</w:t>
      </w:r>
      <w:r>
        <w:rPr>
          <w:rFonts w:eastAsia="Calibri"/>
          <w:spacing w:val="0"/>
          <w:szCs w:val="22"/>
          <w:lang w:bidi="ar-SA"/>
        </w:rPr>
        <w:t xml:space="preserve"> (SEKM, MŽP) a postupně probíhá jejich sanace. V databázi SEKM jsou pro území Ostrova nad Ohří evidovány následující lokality, které však nepředstavují akutní riziko, protože již byly sanovány nebo představují pouze riziko potenciální.</w:t>
      </w:r>
    </w:p>
    <w:p w:rsidR="003C564F" w:rsidRDefault="003C564F" w:rsidP="006164A0">
      <w:pPr>
        <w:pStyle w:val="Odstavecseseznamem"/>
        <w:numPr>
          <w:ilvl w:val="0"/>
          <w:numId w:val="5"/>
        </w:numPr>
        <w:spacing w:before="120" w:after="120"/>
      </w:pPr>
      <w:r w:rsidRPr="00394042">
        <w:rPr>
          <w:b/>
        </w:rPr>
        <w:t>Bývalý sklad pesticidů</w:t>
      </w:r>
      <w:r>
        <w:t xml:space="preserve"> (ID </w:t>
      </w:r>
      <w:r w:rsidRPr="009917F0">
        <w:t>11588004</w:t>
      </w:r>
      <w:r>
        <w:t xml:space="preserve">), k.ú. </w:t>
      </w:r>
      <w:r w:rsidRPr="009917F0">
        <w:t>Dolní Žďár u Ostrova</w:t>
      </w:r>
      <w:r>
        <w:t xml:space="preserve"> (v </w:t>
      </w:r>
      <w:r w:rsidRPr="00394042">
        <w:t xml:space="preserve">minulosti </w:t>
      </w:r>
      <w:r>
        <w:t xml:space="preserve">zde byly </w:t>
      </w:r>
      <w:r w:rsidRPr="00394042">
        <w:t>skladovány přípravky na bázi chlorovaných uhlovodíků a lze předpokládat přetrvávající kontaminaci</w:t>
      </w:r>
      <w:r>
        <w:t xml:space="preserve">, o kontaminaci nejsou žádné konkrétní informace, je nutno na ni nahlížet jako na </w:t>
      </w:r>
      <w:r w:rsidRPr="00394042">
        <w:t>podezřelou</w:t>
      </w:r>
      <w:r>
        <w:t>.</w:t>
      </w:r>
    </w:p>
    <w:p w:rsidR="003C564F" w:rsidRDefault="003C564F" w:rsidP="006164A0">
      <w:pPr>
        <w:pStyle w:val="Odstavecseseznamem"/>
        <w:numPr>
          <w:ilvl w:val="0"/>
          <w:numId w:val="5"/>
        </w:numPr>
        <w:spacing w:before="120" w:after="120"/>
      </w:pPr>
      <w:r w:rsidRPr="00394042">
        <w:rPr>
          <w:b/>
        </w:rPr>
        <w:t>Ostrov klášter</w:t>
      </w:r>
      <w:r>
        <w:t xml:space="preserve"> (ID </w:t>
      </w:r>
      <w:r w:rsidRPr="004F7672">
        <w:t>11588030</w:t>
      </w:r>
      <w:r>
        <w:t xml:space="preserve">), k.ú. </w:t>
      </w:r>
      <w:r w:rsidRPr="009917F0">
        <w:t>Ostrov nad Ohří</w:t>
      </w:r>
      <w:r>
        <w:t xml:space="preserve"> (objekt byl v minulosti využíván armádou, možná kontaminace ropnými látkami, která není potvrzená, u lokality není provedeno hodnocení priority)</w:t>
      </w:r>
    </w:p>
    <w:p w:rsidR="003C564F" w:rsidRDefault="003C564F" w:rsidP="006164A0">
      <w:pPr>
        <w:pStyle w:val="Odstavecseseznamem"/>
        <w:numPr>
          <w:ilvl w:val="0"/>
          <w:numId w:val="5"/>
        </w:numPr>
        <w:spacing w:before="120" w:after="120"/>
      </w:pPr>
      <w:r w:rsidRPr="00E26B9E">
        <w:rPr>
          <w:b/>
        </w:rPr>
        <w:t>HQU Int.,a.s. ŠKODA a.s.Ostrov</w:t>
      </w:r>
      <w:r>
        <w:t xml:space="preserve"> (ID </w:t>
      </w:r>
      <w:r w:rsidRPr="009917F0">
        <w:t>11588001</w:t>
      </w:r>
      <w:r>
        <w:t xml:space="preserve">), k.ú. </w:t>
      </w:r>
      <w:r w:rsidRPr="009917F0">
        <w:t>Dolní Žďár u Ostrova</w:t>
      </w:r>
      <w:r>
        <w:t xml:space="preserve"> (znečištění bylo způsobeno průmyslovým provozem, v roce 2010 proběhla sanace, nyní již nepředstavuje riziko).</w:t>
      </w:r>
    </w:p>
    <w:p w:rsidR="003C564F" w:rsidRDefault="003C564F" w:rsidP="006164A0">
      <w:pPr>
        <w:pStyle w:val="Odstavecseseznamem"/>
        <w:numPr>
          <w:ilvl w:val="0"/>
          <w:numId w:val="5"/>
        </w:numPr>
        <w:spacing w:before="120" w:after="120"/>
      </w:pPr>
      <w:r w:rsidRPr="00394042">
        <w:rPr>
          <w:b/>
        </w:rPr>
        <w:t>Benzina s.r.o. ČSPHM Ostrov nad Ohří</w:t>
      </w:r>
      <w:r>
        <w:t xml:space="preserve"> (ID </w:t>
      </w:r>
      <w:r w:rsidRPr="009917F0">
        <w:t>11588002</w:t>
      </w:r>
      <w:r>
        <w:t xml:space="preserve">), k.ú. </w:t>
      </w:r>
      <w:r w:rsidRPr="009917F0">
        <w:t>Ostrov nad Ohří</w:t>
      </w:r>
      <w:r>
        <w:t xml:space="preserve"> (možná kontaminace ropnými látkami, v roce 2005 proběhla sanace)</w:t>
      </w:r>
    </w:p>
    <w:p w:rsidR="003C564F" w:rsidRDefault="003C564F" w:rsidP="006164A0">
      <w:pPr>
        <w:pStyle w:val="Odstavecseseznamem"/>
        <w:numPr>
          <w:ilvl w:val="0"/>
          <w:numId w:val="5"/>
        </w:numPr>
        <w:spacing w:before="120" w:after="120"/>
      </w:pPr>
      <w:r w:rsidRPr="00394042">
        <w:rPr>
          <w:b/>
        </w:rPr>
        <w:lastRenderedPageBreak/>
        <w:t>ČEZ Distribuce, a.s. Ostrov</w:t>
      </w:r>
      <w:r>
        <w:t xml:space="preserve"> (ID </w:t>
      </w:r>
      <w:r w:rsidRPr="009917F0">
        <w:t>11588003</w:t>
      </w:r>
      <w:r>
        <w:t xml:space="preserve">), k.ú. </w:t>
      </w:r>
      <w:r w:rsidRPr="009917F0">
        <w:t>Ostrov nad Ohří</w:t>
      </w:r>
      <w:r>
        <w:t xml:space="preserve"> (sanováno, již nepředstavuje riziko)</w:t>
      </w:r>
    </w:p>
    <w:p w:rsidR="003C564F" w:rsidRPr="00AE48FB" w:rsidRDefault="003C564F" w:rsidP="003C564F">
      <w:pPr>
        <w:spacing w:before="120" w:after="120" w:line="240" w:lineRule="auto"/>
        <w:rPr>
          <w:spacing w:val="0"/>
        </w:rPr>
      </w:pPr>
    </w:p>
    <w:p w:rsidR="007A560C" w:rsidRDefault="007A560C" w:rsidP="00EC03B3">
      <w:pPr>
        <w:spacing w:before="120" w:after="120" w:line="240" w:lineRule="auto"/>
        <w:rPr>
          <w:spacing w:val="0"/>
        </w:rPr>
      </w:pPr>
    </w:p>
    <w:p w:rsidR="00062218" w:rsidRPr="00EC03B3" w:rsidRDefault="00062218" w:rsidP="00EC03B3">
      <w:pPr>
        <w:spacing w:before="120" w:after="120" w:line="240" w:lineRule="auto"/>
        <w:rPr>
          <w:spacing w:val="0"/>
        </w:rPr>
      </w:pPr>
    </w:p>
    <w:p w:rsidR="00034CF2" w:rsidRPr="00FB73DB" w:rsidRDefault="00034CF2" w:rsidP="00034CF2">
      <w:pPr>
        <w:pStyle w:val="Nadpis4"/>
        <w:pBdr>
          <w:top w:val="none" w:sz="0" w:space="0" w:color="auto"/>
          <w:left w:val="none" w:sz="0" w:space="0" w:color="auto"/>
        </w:pBdr>
        <w:shd w:val="clear" w:color="auto" w:fill="372C74"/>
        <w:spacing w:before="0" w:after="200"/>
        <w:ind w:firstLine="0"/>
        <w:rPr>
          <w:color w:val="auto"/>
          <w:spacing w:val="4"/>
          <w:szCs w:val="24"/>
        </w:rPr>
      </w:pPr>
      <w:bookmarkStart w:id="122" w:name="_Toc516058330"/>
      <w:r w:rsidRPr="00FB73DB">
        <w:rPr>
          <w:color w:val="auto"/>
          <w:spacing w:val="4"/>
          <w:szCs w:val="24"/>
        </w:rPr>
        <w:t>II. Ochrana životního prostředí</w:t>
      </w:r>
      <w:bookmarkEnd w:id="122"/>
      <w:r w:rsidRPr="00FB73DB">
        <w:rPr>
          <w:color w:val="auto"/>
          <w:spacing w:val="4"/>
          <w:szCs w:val="24"/>
        </w:rPr>
        <w:t xml:space="preserve"> </w:t>
      </w:r>
    </w:p>
    <w:p w:rsidR="00034CF2" w:rsidRDefault="00034CF2" w:rsidP="00034CF2">
      <w:pPr>
        <w:pStyle w:val="Nadpis6"/>
      </w:pPr>
      <w:r w:rsidRPr="008336AF">
        <w:t>Ochrana přírody</w:t>
      </w:r>
    </w:p>
    <w:p w:rsidR="003C564F" w:rsidRPr="00AE48FB" w:rsidRDefault="003C564F" w:rsidP="003C564F">
      <w:pPr>
        <w:rPr>
          <w:b/>
          <w:u w:val="single"/>
        </w:rPr>
      </w:pPr>
      <w:r w:rsidRPr="00AE48FB">
        <w:rPr>
          <w:b/>
          <w:u w:val="single"/>
        </w:rPr>
        <w:t>Chráněná území</w:t>
      </w:r>
    </w:p>
    <w:p w:rsidR="003C564F" w:rsidRDefault="003C564F" w:rsidP="003C564F">
      <w:pPr>
        <w:spacing w:before="120" w:after="120"/>
      </w:pPr>
      <w:r>
        <w:t>Na území města Ostrova se nachází pouze jedno zvláště chráněné území, a to přírodní rezervace Ostrovské rybníky v jihozápadní části území. Toto území se částečně překrývá s EVL Ostrovské rybníky a zasahuje i do PO Doupovské hory.</w:t>
      </w:r>
    </w:p>
    <w:p w:rsidR="003C564F" w:rsidRPr="00AE48FB" w:rsidRDefault="003C564F" w:rsidP="003C564F">
      <w:pPr>
        <w:spacing w:before="120" w:after="120"/>
      </w:pPr>
      <w:r>
        <w:t>PR Ostrovské rybníky byla vyhlášená v roce 1998. Důvodem je ochrana vodních a mokřadních stanovišť a na ně vázané flory a fauny. Soustava rybníků leží 1,5km západně od města Ostrov a ze tří stran je obklopena železničním tělesem tratě vedoucí z Ostrova do Hájku. Představuje jeden z posledních plošně rozsáhlejších, strukturálně a druhově bohatých zbytků přirozených společenstev, které byly pro krajinu Sokolovské pánve typické. Plní funkci genofondové plochy mokřadní flóry a fauny Podkrušnohoří. V rezervaci leží dva větší a šest malých rybníků.</w:t>
      </w:r>
    </w:p>
    <w:p w:rsidR="003C564F" w:rsidRPr="00AE48FB" w:rsidRDefault="003C564F" w:rsidP="003C564F">
      <w:pPr>
        <w:rPr>
          <w:b/>
          <w:szCs w:val="22"/>
          <w:u w:val="single"/>
        </w:rPr>
      </w:pPr>
      <w:r w:rsidRPr="00AE48FB">
        <w:rPr>
          <w:b/>
          <w:szCs w:val="22"/>
          <w:u w:val="single"/>
        </w:rPr>
        <w:t>Natura 2000</w:t>
      </w:r>
    </w:p>
    <w:p w:rsidR="003C564F" w:rsidRDefault="003C564F" w:rsidP="003C564F">
      <w:pPr>
        <w:spacing w:before="120" w:after="120"/>
      </w:pPr>
      <w:r>
        <w:t>Do zájmového území města Ostrova zasahují následující ptačí oblasti (PO) a evropsky významné lokality (EVL):</w:t>
      </w:r>
    </w:p>
    <w:p w:rsidR="003C564F" w:rsidRDefault="003C564F" w:rsidP="006164A0">
      <w:pPr>
        <w:numPr>
          <w:ilvl w:val="1"/>
          <w:numId w:val="1"/>
        </w:numPr>
        <w:spacing w:before="120" w:after="120"/>
        <w:ind w:left="284" w:hanging="283"/>
      </w:pPr>
      <w:r>
        <w:t>PO Doupovské hory – zasahuje do jižní a východní části území</w:t>
      </w:r>
    </w:p>
    <w:p w:rsidR="003C564F" w:rsidRDefault="003C564F" w:rsidP="006164A0">
      <w:pPr>
        <w:numPr>
          <w:ilvl w:val="1"/>
          <w:numId w:val="1"/>
        </w:numPr>
        <w:spacing w:before="120" w:after="120"/>
        <w:ind w:left="284" w:hanging="283"/>
      </w:pPr>
      <w:r>
        <w:t>EVL Ostrovské rybníky – v JZ části území</w:t>
      </w:r>
    </w:p>
    <w:p w:rsidR="003C564F" w:rsidRDefault="003C564F" w:rsidP="006164A0">
      <w:pPr>
        <w:numPr>
          <w:ilvl w:val="1"/>
          <w:numId w:val="1"/>
        </w:numPr>
        <w:spacing w:before="120" w:after="120"/>
        <w:ind w:left="284" w:hanging="283"/>
      </w:pPr>
      <w:r>
        <w:t>EVL Borecké rybníky – v centrální části území města</w:t>
      </w:r>
    </w:p>
    <w:p w:rsidR="003C564F" w:rsidRDefault="003C564F" w:rsidP="006164A0">
      <w:pPr>
        <w:numPr>
          <w:ilvl w:val="1"/>
          <w:numId w:val="1"/>
        </w:numPr>
        <w:spacing w:before="120" w:after="120"/>
        <w:ind w:left="284" w:hanging="283"/>
      </w:pPr>
      <w:r>
        <w:t>EVL Doupovské hory – do území města přímo nezasahují, ale sousedí s ním ve východní a jihovýchodní části</w:t>
      </w:r>
    </w:p>
    <w:p w:rsidR="003C564F" w:rsidRDefault="003C564F" w:rsidP="003C564F">
      <w:pPr>
        <w:spacing w:before="120" w:after="120"/>
      </w:pPr>
    </w:p>
    <w:p w:rsidR="003C564F" w:rsidRDefault="003C564F" w:rsidP="003C564F">
      <w:pPr>
        <w:spacing w:before="120" w:after="120"/>
      </w:pPr>
      <w:r>
        <w:t>Níže se nachází mapové vymezení a stručný popis PO a EVL nacházející se v území města Ostrova, včetně popisu předmětů jejich ochrany (Zdroj: AOPK ČR. Natura 2000 – www.natura2000.cz – ze dne 7. 11. 2017).</w:t>
      </w:r>
    </w:p>
    <w:p w:rsidR="003C564F" w:rsidRPr="008A4E04" w:rsidRDefault="003C564F" w:rsidP="003C564F">
      <w:pPr>
        <w:spacing w:before="120" w:after="120"/>
        <w:rPr>
          <w:u w:val="single"/>
        </w:rPr>
      </w:pPr>
      <w:r w:rsidRPr="008A4E04">
        <w:rPr>
          <w:u w:val="single"/>
        </w:rPr>
        <w:t>Ptačí oblast Doupovské hory</w:t>
      </w:r>
    </w:p>
    <w:p w:rsidR="003C564F" w:rsidRDefault="003C564F" w:rsidP="003C564F">
      <w:pPr>
        <w:spacing w:before="120" w:after="120"/>
      </w:pPr>
      <w:r>
        <w:t xml:space="preserve">Rozloha: </w:t>
      </w:r>
      <w:r>
        <w:tab/>
      </w:r>
      <w:r>
        <w:tab/>
        <w:t>63116 ha</w:t>
      </w:r>
    </w:p>
    <w:p w:rsidR="003C564F" w:rsidRDefault="003C564F" w:rsidP="003C564F">
      <w:pPr>
        <w:spacing w:before="120" w:after="120"/>
        <w:ind w:left="2124" w:hanging="2124"/>
      </w:pPr>
      <w:r>
        <w:t xml:space="preserve">Předměty ochrany: </w:t>
      </w:r>
      <w:r>
        <w:tab/>
        <w:t>chřástal polní, čáp černý, datel černý, lejsek malý, lelek lesní</w:t>
      </w:r>
      <w:r>
        <w:tab/>
        <w:t>, moták pochop, pěnice vlašská, ťuhýk obecný, včelojed lesní</w:t>
      </w:r>
      <w:r w:rsidR="000A4932">
        <w:t>,</w:t>
      </w:r>
      <w:r>
        <w:t xml:space="preserve"> výr velký, žluna šedá</w:t>
      </w:r>
    </w:p>
    <w:p w:rsidR="003C564F" w:rsidRPr="008A4E04" w:rsidRDefault="003C564F" w:rsidP="003C564F">
      <w:pPr>
        <w:spacing w:before="120" w:after="120"/>
        <w:rPr>
          <w:u w:val="single"/>
        </w:rPr>
      </w:pPr>
      <w:r w:rsidRPr="008A4E04">
        <w:rPr>
          <w:u w:val="single"/>
        </w:rPr>
        <w:lastRenderedPageBreak/>
        <w:t>EVL Ostrovské rybníky</w:t>
      </w:r>
    </w:p>
    <w:p w:rsidR="003C564F" w:rsidRDefault="003C564F" w:rsidP="003C564F">
      <w:pPr>
        <w:spacing w:before="120" w:after="120"/>
      </w:pPr>
      <w:r>
        <w:t xml:space="preserve">Rozloha: </w:t>
      </w:r>
      <w:r>
        <w:tab/>
      </w:r>
      <w:r>
        <w:tab/>
        <w:t>121 ha</w:t>
      </w:r>
    </w:p>
    <w:p w:rsidR="003C564F" w:rsidRDefault="003C564F" w:rsidP="003C564F">
      <w:pPr>
        <w:spacing w:before="120" w:after="120"/>
      </w:pPr>
      <w:r>
        <w:t xml:space="preserve">Biotopy </w:t>
      </w:r>
      <w:r>
        <w:tab/>
      </w:r>
      <w:r>
        <w:tab/>
        <w:t>V5 Vegetace parožnatek</w:t>
      </w:r>
    </w:p>
    <w:p w:rsidR="003C564F" w:rsidRDefault="003C564F" w:rsidP="003C564F">
      <w:pPr>
        <w:spacing w:before="120" w:after="120"/>
      </w:pPr>
      <w:r>
        <w:t>Druhy:</w:t>
      </w:r>
      <w:r>
        <w:tab/>
      </w:r>
      <w:r>
        <w:tab/>
      </w:r>
      <w:r>
        <w:tab/>
        <w:t>čolek velký</w:t>
      </w:r>
    </w:p>
    <w:p w:rsidR="003C564F" w:rsidRPr="008A4E04" w:rsidRDefault="003C564F" w:rsidP="003C564F">
      <w:pPr>
        <w:spacing w:before="120" w:after="120"/>
        <w:rPr>
          <w:u w:val="single"/>
        </w:rPr>
      </w:pPr>
      <w:r w:rsidRPr="008A4E04">
        <w:rPr>
          <w:u w:val="single"/>
        </w:rPr>
        <w:t>EVL Borecké rybníky</w:t>
      </w:r>
    </w:p>
    <w:p w:rsidR="003C564F" w:rsidRDefault="003C564F" w:rsidP="003C564F">
      <w:pPr>
        <w:spacing w:before="120" w:after="120"/>
      </w:pPr>
      <w:r>
        <w:t xml:space="preserve">Rozloha EVL: </w:t>
      </w:r>
      <w:r>
        <w:tab/>
      </w:r>
      <w:r>
        <w:tab/>
        <w:t>4,2 ha</w:t>
      </w:r>
    </w:p>
    <w:p w:rsidR="003C564F" w:rsidRPr="00AE48FB" w:rsidRDefault="003C564F" w:rsidP="003C564F">
      <w:pPr>
        <w:spacing w:before="120" w:after="120"/>
      </w:pPr>
      <w:r>
        <w:t xml:space="preserve">Předměty ochrany: </w:t>
      </w:r>
      <w:r>
        <w:tab/>
        <w:t>čolek velký</w:t>
      </w:r>
    </w:p>
    <w:p w:rsidR="003C564F" w:rsidRDefault="001B340A" w:rsidP="003C564F">
      <w:pPr>
        <w:spacing w:before="120" w:after="120"/>
        <w:rPr>
          <w:sz w:val="18"/>
          <w:szCs w:val="18"/>
        </w:rPr>
      </w:pPr>
      <w:bookmarkStart w:id="123" w:name="_Toc516059004"/>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39</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E03E82">
        <w:rPr>
          <w:rFonts w:cs="Arial-ItalicMT"/>
          <w:iCs/>
          <w:sz w:val="18"/>
          <w:szCs w:val="18"/>
        </w:rPr>
        <w:t xml:space="preserve"> – </w:t>
      </w:r>
      <w:r w:rsidR="003C564F">
        <w:rPr>
          <w:sz w:val="18"/>
          <w:szCs w:val="18"/>
        </w:rPr>
        <w:t>Chráněná území a lokality soustavy Natura 2000</w:t>
      </w:r>
      <w:bookmarkEnd w:id="123"/>
    </w:p>
    <w:p w:rsidR="003C564F" w:rsidRDefault="003C564F" w:rsidP="003C564F">
      <w:pPr>
        <w:spacing w:before="120" w:after="120"/>
        <w:rPr>
          <w:color w:val="FF0000"/>
        </w:rPr>
      </w:pPr>
      <w:r>
        <w:rPr>
          <w:noProof/>
          <w:color w:val="FF0000"/>
          <w:lang w:eastAsia="cs-CZ" w:bidi="ar-SA"/>
        </w:rPr>
        <w:drawing>
          <wp:inline distT="0" distB="0" distL="0" distR="0">
            <wp:extent cx="3095625" cy="4381500"/>
            <wp:effectExtent l="19050" t="0" r="9525" b="0"/>
            <wp:docPr id="536" name="obrázek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6"/>
                    <a:srcRect/>
                    <a:stretch>
                      <a:fillRect/>
                    </a:stretch>
                  </pic:blipFill>
                  <pic:spPr bwMode="auto">
                    <a:xfrm>
                      <a:off x="0" y="0"/>
                      <a:ext cx="3095625" cy="4381500"/>
                    </a:xfrm>
                    <a:prstGeom prst="rect">
                      <a:avLst/>
                    </a:prstGeom>
                    <a:noFill/>
                    <a:ln w="9525">
                      <a:noFill/>
                      <a:miter lim="800000"/>
                      <a:headEnd/>
                      <a:tailEnd/>
                    </a:ln>
                  </pic:spPr>
                </pic:pic>
              </a:graphicData>
            </a:graphic>
          </wp:inline>
        </w:drawing>
      </w:r>
    </w:p>
    <w:p w:rsidR="003C564F" w:rsidRPr="00B47809" w:rsidRDefault="003C564F" w:rsidP="003C564F">
      <w:pPr>
        <w:spacing w:before="0"/>
        <w:rPr>
          <w:sz w:val="16"/>
          <w:szCs w:val="16"/>
        </w:rPr>
      </w:pPr>
      <w:r w:rsidRPr="00B47809">
        <w:rPr>
          <w:sz w:val="16"/>
          <w:szCs w:val="16"/>
        </w:rPr>
        <w:t xml:space="preserve">Zdroj: </w:t>
      </w:r>
      <w:r>
        <w:rPr>
          <w:sz w:val="16"/>
          <w:szCs w:val="16"/>
        </w:rPr>
        <w:t>AOPK, 2017</w:t>
      </w:r>
    </w:p>
    <w:p w:rsidR="003C564F" w:rsidRPr="00AE48FB" w:rsidRDefault="003C564F" w:rsidP="003C564F">
      <w:pPr>
        <w:rPr>
          <w:b/>
          <w:u w:val="single"/>
        </w:rPr>
      </w:pPr>
      <w:r>
        <w:rPr>
          <w:b/>
          <w:u w:val="single"/>
        </w:rPr>
        <w:t>Migrační prostupnost</w:t>
      </w:r>
    </w:p>
    <w:p w:rsidR="003C564F" w:rsidRPr="002D72BA" w:rsidRDefault="003C564F" w:rsidP="003C564F">
      <w:pPr>
        <w:spacing w:before="120" w:after="120"/>
      </w:pPr>
      <w:r w:rsidRPr="002D72BA">
        <w:t xml:space="preserve">Základním požadavkem obecné ochrany přírody je zachování a umožnění migrační prostupnosti krajiny. Migrační prostupnost území je významným tématem, které se začíná v posledních letech intenzivněji řešit, především díky činnosti Agentury ochrany přírody a krajiny České republiky. V rámci celé ČR jsou vymezeny migračně významná území (MVU) a dálkové migrační koridory (DMK), tedy území, která jsou klíčová pro migraci živočichů, především větších savců. </w:t>
      </w:r>
    </w:p>
    <w:p w:rsidR="003C564F" w:rsidRDefault="003C564F" w:rsidP="003C564F">
      <w:pPr>
        <w:spacing w:before="120" w:after="120"/>
      </w:pPr>
      <w:r w:rsidRPr="002D72BA">
        <w:lastRenderedPageBreak/>
        <w:t>Velká část severní a východní části města je migračně významným územím.</w:t>
      </w:r>
    </w:p>
    <w:p w:rsidR="003C564F" w:rsidRDefault="001B340A" w:rsidP="003C564F">
      <w:pPr>
        <w:spacing w:before="120" w:after="120"/>
        <w:rPr>
          <w:sz w:val="18"/>
          <w:szCs w:val="18"/>
        </w:rPr>
      </w:pPr>
      <w:bookmarkStart w:id="124" w:name="_Toc516059005"/>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40</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E03E82">
        <w:rPr>
          <w:rFonts w:cs="Arial-ItalicMT"/>
          <w:iCs/>
          <w:sz w:val="18"/>
          <w:szCs w:val="18"/>
        </w:rPr>
        <w:t xml:space="preserve">– </w:t>
      </w:r>
      <w:r w:rsidR="003C564F">
        <w:rPr>
          <w:sz w:val="18"/>
          <w:szCs w:val="18"/>
        </w:rPr>
        <w:t>Migračně významná území</w:t>
      </w:r>
      <w:bookmarkEnd w:id="124"/>
    </w:p>
    <w:p w:rsidR="003C564F" w:rsidRDefault="003C564F" w:rsidP="003C564F">
      <w:pPr>
        <w:spacing w:before="120" w:after="120"/>
        <w:rPr>
          <w:b/>
          <w:szCs w:val="22"/>
        </w:rPr>
      </w:pPr>
      <w:r>
        <w:rPr>
          <w:b/>
          <w:noProof/>
          <w:szCs w:val="22"/>
          <w:lang w:eastAsia="cs-CZ" w:bidi="ar-SA"/>
        </w:rPr>
        <w:drawing>
          <wp:inline distT="0" distB="0" distL="0" distR="0">
            <wp:extent cx="2924175" cy="3086100"/>
            <wp:effectExtent l="19050" t="0" r="9525" b="0"/>
            <wp:docPr id="537" name="obrázek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7"/>
                    <a:srcRect/>
                    <a:stretch>
                      <a:fillRect/>
                    </a:stretch>
                  </pic:blipFill>
                  <pic:spPr bwMode="auto">
                    <a:xfrm>
                      <a:off x="0" y="0"/>
                      <a:ext cx="2924175" cy="3086100"/>
                    </a:xfrm>
                    <a:prstGeom prst="rect">
                      <a:avLst/>
                    </a:prstGeom>
                    <a:noFill/>
                    <a:ln w="9525">
                      <a:noFill/>
                      <a:miter lim="800000"/>
                      <a:headEnd/>
                      <a:tailEnd/>
                    </a:ln>
                  </pic:spPr>
                </pic:pic>
              </a:graphicData>
            </a:graphic>
          </wp:inline>
        </w:drawing>
      </w:r>
    </w:p>
    <w:p w:rsidR="003C564F" w:rsidRPr="00B47809" w:rsidRDefault="003C564F" w:rsidP="003C564F">
      <w:pPr>
        <w:spacing w:before="0"/>
        <w:rPr>
          <w:sz w:val="16"/>
          <w:szCs w:val="16"/>
        </w:rPr>
      </w:pPr>
      <w:r w:rsidRPr="00B47809">
        <w:rPr>
          <w:sz w:val="16"/>
          <w:szCs w:val="16"/>
        </w:rPr>
        <w:t xml:space="preserve">Zdroj: </w:t>
      </w:r>
      <w:r>
        <w:rPr>
          <w:sz w:val="16"/>
          <w:szCs w:val="16"/>
        </w:rPr>
        <w:t>Data ÚAP, 2017</w:t>
      </w:r>
    </w:p>
    <w:p w:rsidR="003C564F" w:rsidRPr="00C73E7A" w:rsidRDefault="003C564F" w:rsidP="003C564F">
      <w:pPr>
        <w:rPr>
          <w:b/>
          <w:u w:val="single"/>
        </w:rPr>
      </w:pPr>
      <w:r w:rsidRPr="00C73E7A">
        <w:rPr>
          <w:b/>
          <w:u w:val="single"/>
        </w:rPr>
        <w:t>Památné stromy</w:t>
      </w:r>
    </w:p>
    <w:p w:rsidR="003C564F" w:rsidRPr="00C73E7A" w:rsidRDefault="003C564F" w:rsidP="003C564F">
      <w:pPr>
        <w:spacing w:before="120" w:after="120"/>
      </w:pPr>
      <w:r w:rsidRPr="00C73E7A">
        <w:t>Na území města lze objevit tyto památné stromy:</w:t>
      </w:r>
    </w:p>
    <w:p w:rsidR="003C564F" w:rsidRPr="00C73E7A" w:rsidRDefault="003C564F" w:rsidP="006164A0">
      <w:pPr>
        <w:pStyle w:val="Odstavecseseznamem"/>
        <w:numPr>
          <w:ilvl w:val="0"/>
          <w:numId w:val="3"/>
        </w:numPr>
        <w:spacing w:before="120" w:after="120"/>
      </w:pPr>
      <w:r w:rsidRPr="00C73E7A">
        <w:t>Lípa v Horním Žďáru</w:t>
      </w:r>
    </w:p>
    <w:p w:rsidR="003C564F" w:rsidRPr="00C73E7A" w:rsidRDefault="003C564F" w:rsidP="006164A0">
      <w:pPr>
        <w:pStyle w:val="Odstavecseseznamem"/>
        <w:numPr>
          <w:ilvl w:val="0"/>
          <w:numId w:val="3"/>
        </w:numPr>
        <w:spacing w:before="120" w:after="120"/>
      </w:pPr>
      <w:r w:rsidRPr="00C73E7A">
        <w:t>Květnová lípa</w:t>
      </w:r>
    </w:p>
    <w:p w:rsidR="003C564F" w:rsidRPr="001D2095" w:rsidRDefault="003C564F" w:rsidP="003C564F">
      <w:pPr>
        <w:spacing w:before="0" w:after="0"/>
        <w:rPr>
          <w:b/>
          <w:color w:val="FF0000"/>
          <w:u w:val="single"/>
        </w:rPr>
      </w:pPr>
    </w:p>
    <w:p w:rsidR="003C564F" w:rsidRPr="000C2C9C" w:rsidRDefault="003C564F" w:rsidP="003C564F">
      <w:pPr>
        <w:rPr>
          <w:b/>
          <w:u w:val="single"/>
        </w:rPr>
      </w:pPr>
      <w:r>
        <w:rPr>
          <w:b/>
          <w:u w:val="single"/>
        </w:rPr>
        <w:t>Krajina,</w:t>
      </w:r>
      <w:r w:rsidRPr="000C2C9C">
        <w:rPr>
          <w:b/>
          <w:u w:val="single"/>
        </w:rPr>
        <w:t xml:space="preserve"> významné krajinné prvky</w:t>
      </w:r>
      <w:r>
        <w:rPr>
          <w:b/>
          <w:u w:val="single"/>
        </w:rPr>
        <w:t xml:space="preserve"> a územní systém ekologické stability</w:t>
      </w:r>
    </w:p>
    <w:p w:rsidR="003C564F" w:rsidRPr="000C2C9C" w:rsidRDefault="003C564F" w:rsidP="003C564F">
      <w:pPr>
        <w:spacing w:before="120" w:after="120"/>
      </w:pPr>
      <w:r w:rsidRPr="000C2C9C">
        <w:t xml:space="preserve">Na území města Ostrova se nacházejí tyto </w:t>
      </w:r>
      <w:r w:rsidRPr="000C2C9C">
        <w:rPr>
          <w:u w:val="single"/>
        </w:rPr>
        <w:t>registrované významné krajinné prvky</w:t>
      </w:r>
      <w:r w:rsidRPr="000C2C9C">
        <w:t>:</w:t>
      </w:r>
    </w:p>
    <w:p w:rsidR="003C564F" w:rsidRPr="000C2C9C" w:rsidRDefault="003C564F" w:rsidP="003C564F">
      <w:pPr>
        <w:spacing w:before="120" w:after="120"/>
      </w:pPr>
      <w:r w:rsidRPr="000C2C9C">
        <w:t>- Pastviny u Mořičova - druhotně bohaté porosty pastvin s keřovým společenstvem, genofondová plocha</w:t>
      </w:r>
    </w:p>
    <w:p w:rsidR="003C564F" w:rsidRPr="000C2C9C" w:rsidRDefault="003C564F" w:rsidP="003C564F">
      <w:pPr>
        <w:spacing w:before="120" w:after="120"/>
      </w:pPr>
      <w:r w:rsidRPr="000C2C9C">
        <w:t>- Větrný vrch - geomorfologicky významný strukturní svah – zbytek lávového příkrovu porostlý polopřirozenou travinobylinnou vegetací a rozvolněným keřovým porostem</w:t>
      </w:r>
    </w:p>
    <w:p w:rsidR="003C564F" w:rsidRPr="000C2C9C" w:rsidRDefault="003C564F" w:rsidP="003C564F">
      <w:pPr>
        <w:spacing w:before="120" w:after="120"/>
      </w:pPr>
      <w:r w:rsidRPr="000C2C9C">
        <w:t>- Skalní defilé nad Bystřicí - erozí Bystřice obnažená skalní stěna vulkanodetritického souvrství o</w:t>
      </w:r>
      <w:r>
        <w:t> </w:t>
      </w:r>
      <w:r w:rsidRPr="000C2C9C">
        <w:t>výšce cca 5m na pravém břehu říčky Bystřice</w:t>
      </w:r>
    </w:p>
    <w:p w:rsidR="003C564F" w:rsidRPr="000C2C9C" w:rsidRDefault="003C564F" w:rsidP="003C564F">
      <w:pPr>
        <w:spacing w:before="120" w:after="120"/>
      </w:pPr>
      <w:r w:rsidRPr="000C2C9C">
        <w:t>- Louky u Květnové - svahové, mírně xerotermní luční porosty s výraznou protierozní funkcí, druhově bohatá plocha s vysokou ekolostabilizační funkcí v zemědělské krajině</w:t>
      </w:r>
    </w:p>
    <w:p w:rsidR="003C564F" w:rsidRPr="000C2C9C" w:rsidRDefault="003C564F" w:rsidP="003C564F">
      <w:pPr>
        <w:spacing w:before="120" w:after="120"/>
      </w:pPr>
      <w:r w:rsidRPr="000C2C9C">
        <w:t>- Pahorek u Květnové - morfologicky výrazný a esteticky cenný terénní tvar – pahorek, částečně porostlý vzrostlými stromy s mozaikou volných balvanů a trávníků</w:t>
      </w:r>
    </w:p>
    <w:p w:rsidR="003C564F" w:rsidRPr="000C2C9C" w:rsidRDefault="003C564F" w:rsidP="003C564F">
      <w:pPr>
        <w:spacing w:before="120" w:after="120"/>
      </w:pPr>
      <w:r w:rsidRPr="000C2C9C">
        <w:lastRenderedPageBreak/>
        <w:t>- Rákosina Hluboký - mokřadní lokalita s ekologicky hodnotným porostem rákosu a křovitých vrb rozšiřuje soubor biotopů v zemědělské krajině</w:t>
      </w:r>
    </w:p>
    <w:p w:rsidR="003C564F" w:rsidRPr="000C2C9C" w:rsidRDefault="003C564F" w:rsidP="003C564F">
      <w:pPr>
        <w:spacing w:before="120" w:after="120"/>
      </w:pPr>
      <w:r w:rsidRPr="000C2C9C">
        <w:t>- Louka u nemocnice - naleziště chráněné byliny hvozdík pyšný</w:t>
      </w:r>
    </w:p>
    <w:p w:rsidR="003C564F" w:rsidRPr="000C2C9C" w:rsidRDefault="003C564F" w:rsidP="003C564F">
      <w:pPr>
        <w:spacing w:before="120" w:after="120"/>
      </w:pPr>
      <w:r w:rsidRPr="000C2C9C">
        <w:t>- Pahorek u křížku - dochované zbytky teplomilné vegetace převodní květeny</w:t>
      </w:r>
    </w:p>
    <w:p w:rsidR="003C564F" w:rsidRDefault="003C564F" w:rsidP="003C564F">
      <w:pPr>
        <w:spacing w:before="120" w:after="120"/>
      </w:pPr>
    </w:p>
    <w:p w:rsidR="003C564F" w:rsidRPr="000C2C9C" w:rsidRDefault="003C564F" w:rsidP="003C564F">
      <w:pPr>
        <w:spacing w:before="120" w:after="120"/>
      </w:pPr>
      <w:r w:rsidRPr="000C2C9C">
        <w:t xml:space="preserve">K migrační prostupnosti území a ke zlepšení funkcí krajiny přispívá také </w:t>
      </w:r>
      <w:r w:rsidRPr="000C2C9C">
        <w:rPr>
          <w:u w:val="single"/>
        </w:rPr>
        <w:t>územní systém ekologické stability</w:t>
      </w:r>
      <w:r w:rsidRPr="000C2C9C">
        <w:t xml:space="preserve"> (ÚSES). Ten je vymezen v rámci územního plánu města Ostrova. Na území města Ostrov jsou vymezeny prvky nadregionálního, regionálního i lokálního systému ÚSES. Ve správním území města Ostrov je zpracovaný návrh místního územního systému ekologické stability, který vychází ze dvou prací: ÚSES Hroznětínsko a ÚSES Ostrovsko.</w:t>
      </w:r>
    </w:p>
    <w:p w:rsidR="003C564F" w:rsidRPr="000C2C9C" w:rsidRDefault="003C564F" w:rsidP="003C564F">
      <w:pPr>
        <w:spacing w:before="120" w:after="120"/>
      </w:pPr>
      <w:r w:rsidRPr="000C2C9C">
        <w:t>Jako významná regionální biocentra jsou v území Ostrovské a Borecké rybníky, Popovský kříž a bio-centrum Na Starém vrchu v Mořičově v nivě Bystřice. Jako regionální biokoridor byl vymezen především tok řeky Bystřice. Z dalších regionálních biokoridorů byla respektována linie podél Rudného a Boreckého potoka funkčně, nikoli však směrově i biokoridory spojující regionální biocentra Ostrovské a Borecké rybníky s páteřními regionálními biokoridory. Navíc byl vymezen nový regionální biokoridor Jáchymovského potoka.</w:t>
      </w:r>
    </w:p>
    <w:p w:rsidR="003C564F" w:rsidRPr="000C2C9C" w:rsidRDefault="003C564F" w:rsidP="003C564F">
      <w:pPr>
        <w:spacing w:before="120" w:after="120"/>
      </w:pPr>
      <w:r w:rsidRPr="000C2C9C">
        <w:t>Nejvíce stabilizovanými navrhovanými prvky ÚSES jsou prvky vázané na vodní systém, v rámci města Ostrova jde o biokoridory podél vodních toků. Každý navrhovaný biokoridor byl vymezen v požadovaných parametrech v předpokládané nejvhodnější poloze vůči vodnímu toku. V zastavěném území byl maximálně respektován 10m pás břehové zeleně podél vodních toků.</w:t>
      </w:r>
    </w:p>
    <w:p w:rsidR="003C564F" w:rsidRPr="000C2C9C" w:rsidRDefault="003C564F" w:rsidP="003C564F">
      <w:pPr>
        <w:spacing w:before="120" w:after="120"/>
      </w:pPr>
      <w:r w:rsidRPr="000C2C9C">
        <w:t>Předpokládá se, že navrhovaná řešení budou sloužit především jako podklad pro provádění pozemkových úprav.</w:t>
      </w:r>
      <w:r w:rsidR="00C004A5" w:rsidRPr="00C004A5">
        <w:t xml:space="preserve"> </w:t>
      </w:r>
      <w:r w:rsidR="00C004A5">
        <w:t>Žádoucí je postupná realizace územního systému ekologické stability. Dokud nedojde k realizaci komplexních pozemkových úprav, je možno realizaci vybraných ÚSES podpořit výkupy pozemků nebo uzavřením nájemních smluv k nim a následně provádět výsadby apod.</w:t>
      </w:r>
    </w:p>
    <w:p w:rsidR="003C564F" w:rsidRPr="00756A5B" w:rsidRDefault="003C564F" w:rsidP="003C564F">
      <w:pPr>
        <w:pStyle w:val="Nadpis6"/>
      </w:pPr>
      <w:r w:rsidRPr="00756A5B">
        <w:t>Změna klimatu</w:t>
      </w:r>
    </w:p>
    <w:p w:rsidR="003C564F" w:rsidRPr="00C73E7A" w:rsidRDefault="003C564F" w:rsidP="003C564F">
      <w:pPr>
        <w:spacing w:before="0" w:after="0"/>
        <w:rPr>
          <w:color w:val="FF0000"/>
        </w:rPr>
      </w:pPr>
    </w:p>
    <w:p w:rsidR="003C564F" w:rsidRPr="00C73E7A" w:rsidRDefault="003C564F" w:rsidP="003C564F">
      <w:pPr>
        <w:spacing w:before="0" w:after="0"/>
      </w:pPr>
      <w:r w:rsidRPr="00C73E7A">
        <w:t>Klima je definováno jako průměrný dlouhodobý stav atmosféry v určité geografické oblasti. Klimatickou změnou se v klimatologickém pojetí rozumí veškeré změny klimatu, včetně jeho přirozené variability. Přirozenou a antropogenní složku od sebe nelze vzájemně oddělit, a proto je třeba pracovat s výslednicí obou složek.</w:t>
      </w:r>
    </w:p>
    <w:p w:rsidR="003C564F" w:rsidRPr="00C73E7A" w:rsidRDefault="003C564F" w:rsidP="003C564F">
      <w:pPr>
        <w:spacing w:before="0" w:after="0"/>
      </w:pPr>
      <w:r w:rsidRPr="00C73E7A">
        <w:t>Pro území ČR byly zpracovány predikce vývoje změny klimatu. Mezi hlavní budoucí trendy patří:</w:t>
      </w:r>
    </w:p>
    <w:p w:rsidR="003C564F" w:rsidRPr="00C73E7A" w:rsidRDefault="003C564F" w:rsidP="003C564F">
      <w:pPr>
        <w:spacing w:before="0" w:after="0"/>
        <w:ind w:left="567" w:hanging="284"/>
      </w:pPr>
      <w:r w:rsidRPr="00C73E7A">
        <w:t>•</w:t>
      </w:r>
      <w:r w:rsidRPr="00C73E7A">
        <w:tab/>
        <w:t xml:space="preserve">Postupný nárůst průměrných ročních teplot </w:t>
      </w:r>
    </w:p>
    <w:p w:rsidR="003C564F" w:rsidRPr="00C73E7A" w:rsidRDefault="003C564F" w:rsidP="003C564F">
      <w:pPr>
        <w:spacing w:before="0" w:after="0"/>
        <w:ind w:left="567" w:hanging="284"/>
      </w:pPr>
      <w:r w:rsidRPr="00C73E7A">
        <w:t>•</w:t>
      </w:r>
      <w:r w:rsidRPr="00C73E7A">
        <w:tab/>
        <w:t>Nejvýraznější oteplení v letních měsících</w:t>
      </w:r>
    </w:p>
    <w:p w:rsidR="003C564F" w:rsidRPr="00C73E7A" w:rsidRDefault="003C564F" w:rsidP="003C564F">
      <w:pPr>
        <w:spacing w:before="0" w:after="0"/>
        <w:ind w:left="567" w:hanging="284"/>
      </w:pPr>
      <w:r w:rsidRPr="00C73E7A">
        <w:t>•</w:t>
      </w:r>
      <w:r w:rsidRPr="00C73E7A">
        <w:tab/>
        <w:t>Mírné snížení množství srážek v letních měsících</w:t>
      </w:r>
    </w:p>
    <w:p w:rsidR="003C564F" w:rsidRPr="00C73E7A" w:rsidRDefault="003C564F" w:rsidP="003C564F">
      <w:pPr>
        <w:spacing w:before="0" w:after="0"/>
        <w:ind w:left="567" w:hanging="284"/>
      </w:pPr>
      <w:r w:rsidRPr="00C73E7A">
        <w:t>•</w:t>
      </w:r>
      <w:r w:rsidRPr="00C73E7A">
        <w:tab/>
        <w:t>Četnější období bezesrážkových období</w:t>
      </w:r>
    </w:p>
    <w:p w:rsidR="003C564F" w:rsidRPr="00C73E7A" w:rsidRDefault="003C564F" w:rsidP="003C564F">
      <w:pPr>
        <w:spacing w:before="0" w:after="0"/>
        <w:ind w:left="567" w:hanging="284"/>
      </w:pPr>
      <w:r w:rsidRPr="00C73E7A">
        <w:t>•</w:t>
      </w:r>
      <w:r w:rsidRPr="00C73E7A">
        <w:tab/>
        <w:t>Častější a intenzívnější výskyt extrémních meteorologických jevů – povodní, přívalových srážek, období sucha, požárů</w:t>
      </w:r>
    </w:p>
    <w:p w:rsidR="003C564F" w:rsidRPr="00C73E7A" w:rsidRDefault="003C564F" w:rsidP="003C564F">
      <w:pPr>
        <w:spacing w:before="0" w:after="0"/>
      </w:pPr>
    </w:p>
    <w:p w:rsidR="003C564F" w:rsidRPr="00C73E7A" w:rsidRDefault="003C564F" w:rsidP="003C564F">
      <w:pPr>
        <w:spacing w:before="0" w:after="0"/>
      </w:pPr>
      <w:r w:rsidRPr="00C73E7A">
        <w:lastRenderedPageBreak/>
        <w:t>Území města Ostrova se tyto změny také týkají a je na tě potřeba adekvátně reagovat, a to vhodnými adaptačními opatřeními.</w:t>
      </w:r>
    </w:p>
    <w:p w:rsidR="003C564F" w:rsidRPr="00C73E7A" w:rsidRDefault="003C564F" w:rsidP="003C564F">
      <w:pPr>
        <w:spacing w:before="0" w:after="0"/>
      </w:pPr>
      <w:r w:rsidRPr="00C73E7A">
        <w:t>Jedním z nejvýraznějších stresorů, který zásadně ovlivňuje abiotické i biotické podmínky toků, je vysychání. Problematika vysychání drobných toků se tak v posledních letech stává stále aktuálnější vzhledem k probíhající globální změně klimatu, která se nevyhýbá ani České republice a v současnosti se projevuje jak rozkolísáním průtoků (sucha/povodně), tak i dlouhodobým poklesem hladiny spodní vody, což vede k mnohem častějšímu vysychání toků.</w:t>
      </w:r>
    </w:p>
    <w:p w:rsidR="003C564F" w:rsidRPr="00C73E7A" w:rsidRDefault="003C564F" w:rsidP="003C564F">
      <w:pPr>
        <w:spacing w:before="0" w:after="0"/>
      </w:pPr>
      <w:r w:rsidRPr="00C73E7A">
        <w:t>Problematikou vysychání vodních toků se zabýval Projekt podporovaný Technologickou agenturou ČR (č. TA02020395) – „Vysychání toků v období klimatické změny: predikce rizika a biologická indikace epizod vyschnutí jako nové metody pro management vodního hospodářství a údržby krajiny“. Výsledkem projektu je certifikovaná metodika sledování toků a specializovaná mapa „Mapa rizika vysychání drobných vodních toků“.</w:t>
      </w:r>
    </w:p>
    <w:p w:rsidR="003C564F" w:rsidRPr="00C73E7A" w:rsidRDefault="003C564F" w:rsidP="003C564F">
      <w:pPr>
        <w:spacing w:before="0" w:after="0"/>
      </w:pPr>
      <w:r w:rsidRPr="00C73E7A">
        <w:t>Z mapy je patrné, že většina drobných toků v Ostrově podléhá střednímu až velkému riziku vysychání.</w:t>
      </w:r>
    </w:p>
    <w:p w:rsidR="003C564F" w:rsidRDefault="00756A5B" w:rsidP="003C564F">
      <w:pPr>
        <w:spacing w:before="120" w:after="120"/>
        <w:rPr>
          <w:sz w:val="18"/>
          <w:szCs w:val="18"/>
        </w:rPr>
      </w:pPr>
      <w:bookmarkStart w:id="125" w:name="_Toc516059006"/>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41</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003C564F" w:rsidRPr="00E03E82">
        <w:rPr>
          <w:rFonts w:cs="Arial-ItalicMT"/>
          <w:iCs/>
          <w:sz w:val="18"/>
          <w:szCs w:val="18"/>
        </w:rPr>
        <w:t xml:space="preserve">– </w:t>
      </w:r>
      <w:r w:rsidR="003C564F">
        <w:rPr>
          <w:sz w:val="18"/>
          <w:szCs w:val="18"/>
        </w:rPr>
        <w:t>Riziko vysychání drobných vodních toků</w:t>
      </w:r>
      <w:bookmarkEnd w:id="125"/>
    </w:p>
    <w:p w:rsidR="003C564F" w:rsidRDefault="003C564F" w:rsidP="003C564F">
      <w:pPr>
        <w:spacing w:before="120" w:after="120"/>
        <w:rPr>
          <w:b/>
          <w:szCs w:val="22"/>
        </w:rPr>
      </w:pPr>
      <w:r>
        <w:rPr>
          <w:b/>
          <w:noProof/>
          <w:szCs w:val="22"/>
          <w:lang w:eastAsia="cs-CZ" w:bidi="ar-SA"/>
        </w:rPr>
        <w:drawing>
          <wp:inline distT="0" distB="0" distL="0" distR="0">
            <wp:extent cx="5915025" cy="4486275"/>
            <wp:effectExtent l="19050" t="0" r="9525" b="0"/>
            <wp:docPr id="538" name="obráze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8"/>
                    <a:srcRect/>
                    <a:stretch>
                      <a:fillRect/>
                    </a:stretch>
                  </pic:blipFill>
                  <pic:spPr bwMode="auto">
                    <a:xfrm>
                      <a:off x="0" y="0"/>
                      <a:ext cx="5915025" cy="4486275"/>
                    </a:xfrm>
                    <a:prstGeom prst="rect">
                      <a:avLst/>
                    </a:prstGeom>
                    <a:noFill/>
                    <a:ln w="9525">
                      <a:noFill/>
                      <a:miter lim="800000"/>
                      <a:headEnd/>
                      <a:tailEnd/>
                    </a:ln>
                  </pic:spPr>
                </pic:pic>
              </a:graphicData>
            </a:graphic>
          </wp:inline>
        </w:drawing>
      </w:r>
    </w:p>
    <w:p w:rsidR="003C564F" w:rsidRDefault="003C564F" w:rsidP="001B3CEE">
      <w:pPr>
        <w:spacing w:before="0" w:after="0"/>
        <w:rPr>
          <w:sz w:val="16"/>
          <w:szCs w:val="16"/>
        </w:rPr>
      </w:pPr>
      <w:r w:rsidRPr="00B47809">
        <w:rPr>
          <w:sz w:val="16"/>
          <w:szCs w:val="16"/>
        </w:rPr>
        <w:t xml:space="preserve">Zdroj: </w:t>
      </w:r>
      <w:hyperlink r:id="rId59" w:history="1">
        <w:r w:rsidRPr="00561B0A">
          <w:rPr>
            <w:rStyle w:val="Hypertextovodkaz"/>
            <w:sz w:val="16"/>
            <w:szCs w:val="16"/>
          </w:rPr>
          <w:t>http://heis.vuv.cz</w:t>
        </w:r>
      </w:hyperlink>
      <w:r>
        <w:rPr>
          <w:sz w:val="16"/>
          <w:szCs w:val="16"/>
        </w:rPr>
        <w:t xml:space="preserve"> </w:t>
      </w:r>
    </w:p>
    <w:p w:rsidR="003C564F" w:rsidRPr="00B47809" w:rsidRDefault="003C564F" w:rsidP="003C564F">
      <w:pPr>
        <w:spacing w:before="0"/>
        <w:rPr>
          <w:sz w:val="16"/>
          <w:szCs w:val="16"/>
        </w:rPr>
      </w:pPr>
      <w:r>
        <w:rPr>
          <w:sz w:val="16"/>
          <w:szCs w:val="16"/>
        </w:rPr>
        <w:t>Pozn.: Červeně – vysoké riziko vysychání, žlutě – střední riziko vysychání (týká se povodí vodních toků)</w:t>
      </w:r>
    </w:p>
    <w:p w:rsidR="00D0039A" w:rsidRPr="00FB73DB" w:rsidRDefault="00D0039A" w:rsidP="00D0039A">
      <w:pPr>
        <w:pStyle w:val="Nadpis4"/>
        <w:pBdr>
          <w:top w:val="none" w:sz="0" w:space="0" w:color="auto"/>
          <w:left w:val="none" w:sz="0" w:space="0" w:color="auto"/>
        </w:pBdr>
        <w:shd w:val="clear" w:color="auto" w:fill="372C74"/>
        <w:spacing w:before="0" w:after="200"/>
        <w:ind w:firstLine="0"/>
        <w:rPr>
          <w:color w:val="auto"/>
          <w:spacing w:val="4"/>
          <w:szCs w:val="24"/>
        </w:rPr>
      </w:pPr>
      <w:bookmarkStart w:id="126" w:name="_Toc516058331"/>
      <w:r>
        <w:rPr>
          <w:color w:val="auto"/>
          <w:spacing w:val="4"/>
          <w:szCs w:val="24"/>
        </w:rPr>
        <w:lastRenderedPageBreak/>
        <w:t>I</w:t>
      </w:r>
      <w:r w:rsidRPr="00FB73DB">
        <w:rPr>
          <w:color w:val="auto"/>
          <w:spacing w:val="4"/>
          <w:szCs w:val="24"/>
        </w:rPr>
        <w:t xml:space="preserve">II. </w:t>
      </w:r>
      <w:r>
        <w:rPr>
          <w:color w:val="auto"/>
          <w:spacing w:val="4"/>
          <w:szCs w:val="24"/>
        </w:rPr>
        <w:t>Péče o</w:t>
      </w:r>
      <w:r w:rsidRPr="00FB73DB">
        <w:rPr>
          <w:color w:val="auto"/>
          <w:spacing w:val="4"/>
          <w:szCs w:val="24"/>
        </w:rPr>
        <w:t xml:space="preserve"> životního prostředí</w:t>
      </w:r>
      <w:bookmarkEnd w:id="126"/>
      <w:r w:rsidRPr="00FB73DB">
        <w:rPr>
          <w:color w:val="auto"/>
          <w:spacing w:val="4"/>
          <w:szCs w:val="24"/>
        </w:rPr>
        <w:t xml:space="preserve"> </w:t>
      </w:r>
    </w:p>
    <w:p w:rsidR="00C004A5" w:rsidRDefault="00C004A5" w:rsidP="00C004A5">
      <w:pPr>
        <w:rPr>
          <w:b/>
          <w:u w:val="single"/>
        </w:rPr>
      </w:pPr>
      <w:r>
        <w:rPr>
          <w:b/>
          <w:u w:val="single"/>
        </w:rPr>
        <w:t>Veřejná zeleň a</w:t>
      </w:r>
      <w:r w:rsidRPr="008336AF">
        <w:rPr>
          <w:b/>
          <w:u w:val="single"/>
        </w:rPr>
        <w:t xml:space="preserve"> parky</w:t>
      </w:r>
    </w:p>
    <w:p w:rsidR="00C004A5" w:rsidRDefault="00C004A5" w:rsidP="00C004A5">
      <w:pPr>
        <w:spacing w:before="120" w:after="120"/>
      </w:pPr>
      <w:r>
        <w:t xml:space="preserve">Nejvýznamnějším parkem </w:t>
      </w:r>
      <w:r w:rsidRPr="00431717">
        <w:t xml:space="preserve">města </w:t>
      </w:r>
      <w:r>
        <w:t>je zámecký park, tj.</w:t>
      </w:r>
      <w:r w:rsidRPr="00431717">
        <w:t xml:space="preserve"> rozsáhlý barokní zámecký areál se zámeckým parkem. Podoba zahrady se vyvíjela v průběhu 17. až 19. století. Park, založený v duchu italských renesančních zahrad, byl postupně dotvářen barokními kompozicemi s fontánami, jezírky a umělými skalisky, gloriety a altány, bludišti a bohatou uměleckou výzdobou v podobě soch antických božstev. Uprostřed zahrady stál letohrádek, dále zde byla jízdárna či voliéra s exotickým zvířectvem. Ve své době byl park nazýván osmým divem světa.</w:t>
      </w:r>
      <w:r>
        <w:t xml:space="preserve"> V parku se nachází několik kulturně a památkově hodnotných objektů, jako jsou Letohrádek, klášterní areál (klášter Piaristů) včetně kaple sv. Anny, Einsiedelské kaple a kaple sv. Floriana, objekt zámku, kostel sv. Jakuba a Palác princů.</w:t>
      </w:r>
    </w:p>
    <w:p w:rsidR="00C004A5" w:rsidRDefault="00C004A5" w:rsidP="00C004A5">
      <w:pPr>
        <w:spacing w:before="120" w:after="120"/>
      </w:pPr>
      <w:r>
        <w:t xml:space="preserve">Významnější plocha zeleně se nachází také v severní části města u Boreckých rybníků, méně dostupné jsou Ostrovské rybníky.    </w:t>
      </w:r>
    </w:p>
    <w:p w:rsidR="00C004A5" w:rsidRPr="00431717" w:rsidRDefault="00C004A5" w:rsidP="00C004A5">
      <w:pPr>
        <w:spacing w:before="120" w:after="120"/>
      </w:pPr>
      <w:r>
        <w:t xml:space="preserve">Veřejná zeleň se nachází téměř celoplošně ve větší míře podél komunikací, na veřejných plochách a ve vnitroblocích. Z velké části byla založena při výstavbě nové části města v padesátých letech. Ta je nyní vzrostlá a postupně zastarává a je nutno řešit její údržbu a doplňování. Část této zeleně mizí např. při výstavbě nových parkovacích ploch. Cílem – i s ohledem na předpokládané klimatické změny, by mělo být zachování zeleně ve městě a její postupná koncepční citlivá revitalizace.  </w:t>
      </w:r>
    </w:p>
    <w:p w:rsidR="003C564F" w:rsidRDefault="003C564F"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E66863" w:rsidRDefault="00E66863" w:rsidP="003C564F">
      <w:pPr>
        <w:spacing w:before="120" w:after="120"/>
        <w:rPr>
          <w:b/>
          <w:color w:val="FF0000"/>
          <w:u w:val="single"/>
        </w:rPr>
      </w:pPr>
    </w:p>
    <w:p w:rsidR="003C564F" w:rsidRPr="004A3E24" w:rsidRDefault="003C564F" w:rsidP="003C564F">
      <w:pPr>
        <w:spacing w:before="120" w:after="120"/>
        <w:rPr>
          <w:rFonts w:asciiTheme="majorHAnsi" w:hAnsiTheme="majorHAnsi"/>
        </w:rPr>
      </w:pPr>
    </w:p>
    <w:tbl>
      <w:tblPr>
        <w:tblW w:w="0" w:type="auto"/>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ook w:val="04A0" w:firstRow="1" w:lastRow="0" w:firstColumn="1" w:lastColumn="0" w:noHBand="0" w:noVBand="1"/>
      </w:tblPr>
      <w:tblGrid>
        <w:gridCol w:w="675"/>
        <w:gridCol w:w="4051"/>
        <w:gridCol w:w="627"/>
        <w:gridCol w:w="4099"/>
      </w:tblGrid>
      <w:tr w:rsidR="0094602B" w:rsidRPr="00253E29" w:rsidTr="00155DC6">
        <w:tc>
          <w:tcPr>
            <w:tcW w:w="9452" w:type="dxa"/>
            <w:gridSpan w:val="4"/>
            <w:tcBorders>
              <w:top w:val="single" w:sz="12" w:space="0" w:color="372C74"/>
              <w:left w:val="single" w:sz="12" w:space="0" w:color="372C74"/>
              <w:bottom w:val="single" w:sz="4" w:space="0" w:color="auto"/>
              <w:right w:val="single" w:sz="12" w:space="0" w:color="372C74"/>
              <w:tl2br w:val="nil"/>
              <w:tr2bl w:val="nil"/>
            </w:tcBorders>
            <w:shd w:val="clear" w:color="auto" w:fill="372C74"/>
            <w:vAlign w:val="center"/>
          </w:tcPr>
          <w:p w:rsidR="0094602B" w:rsidRPr="00053817" w:rsidRDefault="0094602B" w:rsidP="00155DC6">
            <w:pPr>
              <w:autoSpaceDE w:val="0"/>
              <w:autoSpaceDN w:val="0"/>
              <w:adjustRightInd w:val="0"/>
              <w:spacing w:before="0" w:after="0" w:line="240" w:lineRule="auto"/>
              <w:rPr>
                <w:b/>
                <w:lang w:bidi="ar-SA"/>
              </w:rPr>
            </w:pPr>
            <w:r w:rsidRPr="00053817">
              <w:rPr>
                <w:b/>
                <w:lang w:bidi="ar-SA"/>
              </w:rPr>
              <w:lastRenderedPageBreak/>
              <w:t>Shrnutí hlavních pozitivních a negativních charakteristik a očekávaných trendů v oblasti</w:t>
            </w:r>
          </w:p>
          <w:p w:rsidR="0094602B" w:rsidRPr="00053817" w:rsidRDefault="0094602B" w:rsidP="00155DC6">
            <w:pPr>
              <w:autoSpaceDE w:val="0"/>
              <w:autoSpaceDN w:val="0"/>
              <w:adjustRightInd w:val="0"/>
              <w:spacing w:before="0" w:after="0" w:line="240" w:lineRule="auto"/>
              <w:jc w:val="center"/>
              <w:rPr>
                <w:rFonts w:cs="Arial-ItalicMT"/>
                <w:b/>
                <w:iCs/>
                <w:szCs w:val="22"/>
              </w:rPr>
            </w:pPr>
            <w:r>
              <w:rPr>
                <w:b/>
                <w:lang w:bidi="ar-SA"/>
              </w:rPr>
              <w:t>Životní prostředí</w:t>
            </w:r>
          </w:p>
        </w:tc>
      </w:tr>
      <w:tr w:rsidR="0094602B" w:rsidTr="00155DC6">
        <w:tc>
          <w:tcPr>
            <w:tcW w:w="675" w:type="dxa"/>
            <w:tcBorders>
              <w:top w:val="single" w:sz="4" w:space="0" w:color="auto"/>
              <w:left w:val="single" w:sz="4" w:space="0" w:color="auto"/>
              <w:bottom w:val="single" w:sz="4" w:space="0" w:color="auto"/>
              <w:right w:val="nil"/>
              <w:tl2br w:val="nil"/>
              <w:tr2bl w:val="nil"/>
            </w:tcBorders>
            <w:shd w:val="clear" w:color="auto" w:fill="DDE9EC"/>
            <w:vAlign w:val="center"/>
          </w:tcPr>
          <w:p w:rsidR="0094602B" w:rsidRPr="00053817" w:rsidRDefault="0094602B" w:rsidP="00155DC6">
            <w:pPr>
              <w:autoSpaceDE w:val="0"/>
              <w:autoSpaceDN w:val="0"/>
              <w:adjustRightInd w:val="0"/>
              <w:spacing w:before="60" w:after="60" w:line="240" w:lineRule="auto"/>
              <w:jc w:val="center"/>
              <w:rPr>
                <w:rFonts w:ascii="Arial Black" w:hAnsi="Arial Black" w:cs="Arial-ItalicMT"/>
                <w:b/>
                <w:iCs/>
                <w:color w:val="00B050"/>
                <w:szCs w:val="22"/>
              </w:rPr>
            </w:pPr>
            <w:r w:rsidRPr="00053817">
              <w:rPr>
                <w:rFonts w:ascii="Arial Black" w:hAnsi="Arial Black" w:cs="Arial-ItalicMT"/>
                <w:b/>
                <w:iCs/>
                <w:color w:val="00B050"/>
                <w:sz w:val="40"/>
                <w:szCs w:val="40"/>
              </w:rPr>
              <w:t>+</w:t>
            </w:r>
          </w:p>
        </w:tc>
        <w:tc>
          <w:tcPr>
            <w:tcW w:w="4051" w:type="dxa"/>
            <w:tcBorders>
              <w:top w:val="single" w:sz="4" w:space="0" w:color="auto"/>
              <w:left w:val="nil"/>
              <w:bottom w:val="single" w:sz="4" w:space="0" w:color="auto"/>
              <w:right w:val="single" w:sz="4" w:space="0" w:color="auto"/>
            </w:tcBorders>
            <w:shd w:val="clear" w:color="auto" w:fill="DDE9EC"/>
          </w:tcPr>
          <w:p w:rsidR="00E66863" w:rsidRPr="00D06854" w:rsidRDefault="00E66863" w:rsidP="00E66863">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sidRPr="00D06854">
              <w:rPr>
                <w:rFonts w:cs="Arial-ItalicMT"/>
                <w:iCs/>
                <w:szCs w:val="22"/>
              </w:rPr>
              <w:t>Zvýšená přírodní hodnota území – několik chráněných území a Natura 2000, vysoký podíl lesů a řada vodních ploch</w:t>
            </w:r>
          </w:p>
          <w:p w:rsidR="00E66863" w:rsidRPr="001F2011" w:rsidRDefault="00E66863" w:rsidP="00E66863">
            <w:pPr>
              <w:pStyle w:val="Odstavecseseznamem"/>
              <w:numPr>
                <w:ilvl w:val="0"/>
                <w:numId w:val="1"/>
              </w:numPr>
              <w:autoSpaceDE w:val="0"/>
              <w:autoSpaceDN w:val="0"/>
              <w:adjustRightInd w:val="0"/>
              <w:spacing w:before="60" w:after="60" w:line="240" w:lineRule="auto"/>
              <w:ind w:left="470" w:hanging="510"/>
              <w:jc w:val="left"/>
              <w:rPr>
                <w:rFonts w:cs="Arial-ItalicMT"/>
                <w:b/>
                <w:iCs/>
                <w:szCs w:val="22"/>
              </w:rPr>
            </w:pPr>
            <w:r w:rsidRPr="001F2011">
              <w:rPr>
                <w:rFonts w:cs="Arial-ItalicMT"/>
                <w:b/>
                <w:iCs/>
                <w:szCs w:val="22"/>
              </w:rPr>
              <w:t xml:space="preserve">Zámecký park a množství veřejné zeleně v rámci města </w:t>
            </w:r>
          </w:p>
          <w:p w:rsidR="00E66863" w:rsidRDefault="00E66863" w:rsidP="00E66863">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Pr>
                <w:rFonts w:cs="Arial-ItalicMT"/>
                <w:iCs/>
                <w:szCs w:val="22"/>
              </w:rPr>
              <w:t>Dobrá kvalita ovzduší a plnění imisních limitů</w:t>
            </w:r>
          </w:p>
          <w:p w:rsidR="00E66863" w:rsidRPr="001F2011" w:rsidRDefault="00E66863" w:rsidP="00E66863">
            <w:pPr>
              <w:pStyle w:val="Odstavecseseznamem"/>
              <w:numPr>
                <w:ilvl w:val="0"/>
                <w:numId w:val="1"/>
              </w:numPr>
              <w:autoSpaceDE w:val="0"/>
              <w:autoSpaceDN w:val="0"/>
              <w:adjustRightInd w:val="0"/>
              <w:spacing w:before="60" w:after="60" w:line="240" w:lineRule="auto"/>
              <w:ind w:left="470" w:hanging="510"/>
              <w:jc w:val="left"/>
              <w:rPr>
                <w:rFonts w:cs="Arial-ItalicMT"/>
                <w:b/>
                <w:iCs/>
                <w:szCs w:val="22"/>
              </w:rPr>
            </w:pPr>
            <w:r w:rsidRPr="001F2011">
              <w:rPr>
                <w:rFonts w:cs="Arial-ItalicMT"/>
                <w:b/>
                <w:iCs/>
                <w:szCs w:val="22"/>
              </w:rPr>
              <w:t>Kolem města vedoucí obchvat odvádí významný podíl dopravy a snižuje hluk a znečištění ovzduší</w:t>
            </w:r>
          </w:p>
          <w:p w:rsidR="00E66863" w:rsidRDefault="00E66863" w:rsidP="00E66863">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Pr>
                <w:rFonts w:cs="Arial-ItalicMT"/>
                <w:iCs/>
                <w:szCs w:val="22"/>
              </w:rPr>
              <w:t>Čistota ve městě</w:t>
            </w:r>
          </w:p>
          <w:p w:rsidR="00A733CF" w:rsidRPr="00F72064" w:rsidRDefault="00E66863" w:rsidP="00E66863">
            <w:pPr>
              <w:pStyle w:val="Odstavecseseznamem"/>
              <w:numPr>
                <w:ilvl w:val="0"/>
                <w:numId w:val="1"/>
              </w:numPr>
              <w:autoSpaceDE w:val="0"/>
              <w:autoSpaceDN w:val="0"/>
              <w:adjustRightInd w:val="0"/>
              <w:spacing w:before="60" w:after="60" w:line="240" w:lineRule="auto"/>
              <w:ind w:left="470" w:hanging="510"/>
              <w:jc w:val="left"/>
              <w:rPr>
                <w:rFonts w:cs="Arial-ItalicMT"/>
                <w:iCs/>
                <w:szCs w:val="22"/>
              </w:rPr>
            </w:pPr>
            <w:r>
              <w:rPr>
                <w:rFonts w:cs="Arial-ItalicMT"/>
                <w:iCs/>
                <w:szCs w:val="22"/>
              </w:rPr>
              <w:t>B</w:t>
            </w:r>
            <w:r w:rsidRPr="00D06854">
              <w:rPr>
                <w:rFonts w:cs="Arial-ItalicMT"/>
                <w:iCs/>
                <w:szCs w:val="22"/>
              </w:rPr>
              <w:t>lízké rekreační oblasti - Borecké rybníky, Velký rybník, Ohře, Krušné hory, ...</w:t>
            </w:r>
          </w:p>
        </w:tc>
        <w:tc>
          <w:tcPr>
            <w:tcW w:w="627" w:type="dxa"/>
            <w:tcBorders>
              <w:top w:val="single" w:sz="4" w:space="0" w:color="auto"/>
              <w:left w:val="single" w:sz="4" w:space="0" w:color="auto"/>
              <w:bottom w:val="single" w:sz="4" w:space="0" w:color="auto"/>
              <w:right w:val="nil"/>
            </w:tcBorders>
            <w:shd w:val="clear" w:color="auto" w:fill="DDE9EC"/>
            <w:vAlign w:val="center"/>
          </w:tcPr>
          <w:p w:rsidR="0094602B" w:rsidRPr="00A733CF" w:rsidRDefault="0094602B" w:rsidP="00155DC6">
            <w:pPr>
              <w:autoSpaceDE w:val="0"/>
              <w:autoSpaceDN w:val="0"/>
              <w:adjustRightInd w:val="0"/>
              <w:spacing w:before="60" w:after="60" w:line="240" w:lineRule="auto"/>
              <w:jc w:val="center"/>
              <w:rPr>
                <w:rFonts w:ascii="Arial Black" w:hAnsi="Arial Black" w:cs="Arial-ItalicMT"/>
                <w:iCs/>
                <w:color w:val="FF0000"/>
                <w:sz w:val="40"/>
                <w:szCs w:val="40"/>
              </w:rPr>
            </w:pPr>
            <w:r w:rsidRPr="00A733CF">
              <w:rPr>
                <w:rFonts w:ascii="Arial Black" w:hAnsi="Arial Black" w:cs="Arial-ItalicMT"/>
                <w:b/>
                <w:iCs/>
                <w:color w:val="FF0000"/>
                <w:sz w:val="40"/>
                <w:szCs w:val="40"/>
              </w:rPr>
              <w:t>-</w:t>
            </w:r>
          </w:p>
        </w:tc>
        <w:tc>
          <w:tcPr>
            <w:tcW w:w="4099" w:type="dxa"/>
            <w:tcBorders>
              <w:top w:val="single" w:sz="4" w:space="0" w:color="auto"/>
              <w:left w:val="nil"/>
              <w:bottom w:val="single" w:sz="4" w:space="0" w:color="auto"/>
              <w:right w:val="single" w:sz="4" w:space="0" w:color="auto"/>
            </w:tcBorders>
            <w:shd w:val="clear" w:color="auto" w:fill="DDE9EC"/>
          </w:tcPr>
          <w:p w:rsidR="006164A0" w:rsidRDefault="006164A0" w:rsidP="006164A0">
            <w:pPr>
              <w:pStyle w:val="Odstavecseseznamem"/>
              <w:numPr>
                <w:ilvl w:val="0"/>
                <w:numId w:val="2"/>
              </w:numPr>
              <w:autoSpaceDE w:val="0"/>
              <w:autoSpaceDN w:val="0"/>
              <w:adjustRightInd w:val="0"/>
              <w:spacing w:before="60" w:after="60" w:line="240" w:lineRule="auto"/>
              <w:ind w:left="317" w:hanging="425"/>
              <w:jc w:val="left"/>
              <w:rPr>
                <w:rFonts w:cs="Arial-ItalicMT"/>
                <w:iCs/>
                <w:szCs w:val="22"/>
              </w:rPr>
            </w:pPr>
            <w:r>
              <w:rPr>
                <w:rFonts w:cs="Arial-ItalicMT"/>
                <w:iCs/>
                <w:szCs w:val="22"/>
              </w:rPr>
              <w:t>Č</w:t>
            </w:r>
            <w:r w:rsidRPr="00F21B35">
              <w:rPr>
                <w:rFonts w:cs="Arial-ItalicMT"/>
                <w:iCs/>
                <w:szCs w:val="22"/>
              </w:rPr>
              <w:t>ást území ohrožena rizikem povodní z přívalových srážek</w:t>
            </w:r>
            <w:r>
              <w:rPr>
                <w:rFonts w:cs="Arial-ItalicMT"/>
                <w:iCs/>
                <w:szCs w:val="22"/>
              </w:rPr>
              <w:t xml:space="preserve"> a vodní erozí půdy</w:t>
            </w:r>
          </w:p>
          <w:p w:rsidR="006164A0" w:rsidRPr="00F21B35" w:rsidRDefault="006164A0" w:rsidP="006164A0">
            <w:pPr>
              <w:pStyle w:val="Odstavecseseznamem"/>
              <w:numPr>
                <w:ilvl w:val="0"/>
                <w:numId w:val="2"/>
              </w:numPr>
              <w:autoSpaceDE w:val="0"/>
              <w:autoSpaceDN w:val="0"/>
              <w:adjustRightInd w:val="0"/>
              <w:spacing w:before="60" w:after="60" w:line="240" w:lineRule="auto"/>
              <w:ind w:left="317" w:hanging="425"/>
              <w:jc w:val="left"/>
              <w:rPr>
                <w:rFonts w:cs="Arial-ItalicMT"/>
                <w:iCs/>
                <w:szCs w:val="22"/>
              </w:rPr>
            </w:pPr>
            <w:r>
              <w:rPr>
                <w:rFonts w:cs="Arial-ItalicMT"/>
                <w:iCs/>
                <w:szCs w:val="22"/>
              </w:rPr>
              <w:t>Riziko odpojování objektů ze systému CZT, respektive nenapojování nových do systému</w:t>
            </w:r>
          </w:p>
          <w:p w:rsidR="006164A0" w:rsidRPr="00F21B35" w:rsidRDefault="006164A0" w:rsidP="006164A0">
            <w:pPr>
              <w:pStyle w:val="Odstavecseseznamem"/>
              <w:numPr>
                <w:ilvl w:val="0"/>
                <w:numId w:val="2"/>
              </w:numPr>
              <w:autoSpaceDE w:val="0"/>
              <w:autoSpaceDN w:val="0"/>
              <w:adjustRightInd w:val="0"/>
              <w:spacing w:before="60" w:after="60" w:line="240" w:lineRule="auto"/>
              <w:ind w:left="317" w:hanging="425"/>
              <w:jc w:val="left"/>
              <w:rPr>
                <w:rFonts w:cs="Arial-ItalicMT"/>
                <w:iCs/>
                <w:szCs w:val="22"/>
              </w:rPr>
            </w:pPr>
            <w:r>
              <w:rPr>
                <w:rFonts w:cs="Arial-ItalicMT"/>
                <w:iCs/>
                <w:szCs w:val="22"/>
              </w:rPr>
              <w:t>Nutnost koncepční údržby veřejné zeleně</w:t>
            </w:r>
          </w:p>
          <w:p w:rsidR="00A733CF" w:rsidRPr="00F72064" w:rsidRDefault="006164A0" w:rsidP="006164A0">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iCs/>
                <w:szCs w:val="22"/>
              </w:rPr>
            </w:pPr>
            <w:r>
              <w:rPr>
                <w:rFonts w:cs="Arial-ItalicMT"/>
                <w:iCs/>
                <w:szCs w:val="22"/>
              </w:rPr>
              <w:t>U části vodních toků je zhoršena jejich jakost.</w:t>
            </w:r>
          </w:p>
        </w:tc>
      </w:tr>
      <w:tr w:rsidR="0094602B" w:rsidTr="00155DC6">
        <w:tc>
          <w:tcPr>
            <w:tcW w:w="9452" w:type="dxa"/>
            <w:gridSpan w:val="4"/>
            <w:tcBorders>
              <w:top w:val="nil"/>
              <w:left w:val="single" w:sz="4" w:space="0" w:color="auto"/>
              <w:bottom w:val="single" w:sz="4" w:space="0" w:color="auto"/>
              <w:right w:val="single" w:sz="4" w:space="0" w:color="auto"/>
              <w:tl2br w:val="nil"/>
              <w:tr2bl w:val="nil"/>
            </w:tcBorders>
            <w:shd w:val="clear" w:color="auto" w:fill="DDE9EC"/>
            <w:vAlign w:val="center"/>
          </w:tcPr>
          <w:p w:rsidR="0094602B" w:rsidRDefault="0094602B" w:rsidP="00155DC6">
            <w:pPr>
              <w:autoSpaceDE w:val="0"/>
              <w:autoSpaceDN w:val="0"/>
              <w:adjustRightInd w:val="0"/>
              <w:spacing w:before="60" w:after="60" w:line="240" w:lineRule="auto"/>
              <w:rPr>
                <w:rFonts w:cs="Arial-ItalicMT"/>
                <w:iCs/>
                <w:color w:val="372C74"/>
                <w:szCs w:val="22"/>
              </w:rPr>
            </w:pPr>
            <w:r>
              <w:rPr>
                <w:rFonts w:cs="Arial-ItalicMT"/>
                <w:iCs/>
                <w:color w:val="372C74"/>
                <w:szCs w:val="22"/>
              </w:rPr>
              <w:t>Komentář:</w:t>
            </w:r>
          </w:p>
          <w:p w:rsidR="00E66863" w:rsidRDefault="00E66863" w:rsidP="00E66863">
            <w:pPr>
              <w:autoSpaceDE w:val="0"/>
              <w:autoSpaceDN w:val="0"/>
              <w:adjustRightInd w:val="0"/>
              <w:spacing w:before="60" w:after="60" w:line="240" w:lineRule="auto"/>
              <w:rPr>
                <w:rFonts w:cs="Arial-ItalicMT"/>
                <w:iCs/>
                <w:color w:val="372C74"/>
                <w:szCs w:val="22"/>
              </w:rPr>
            </w:pPr>
            <w:r>
              <w:rPr>
                <w:rFonts w:cs="Arial-ItalicMT"/>
                <w:iCs/>
                <w:color w:val="372C74"/>
                <w:szCs w:val="22"/>
              </w:rPr>
              <w:t>Stav životního prostředí na území města Ostrova je v jeho jednotlivých oblastech dobrý. Kvalita ovzduší je dobrá, funguje zde systém CZT, díky realizaci obchvatu byla snížena hlučnost z dopravy a v území se nachází velké množství veřejné zeleně včetně historicky významného zámeckého parku.</w:t>
            </w:r>
          </w:p>
          <w:p w:rsidR="001F22C1" w:rsidRPr="00053817" w:rsidRDefault="00E66863" w:rsidP="00E66863">
            <w:pPr>
              <w:autoSpaceDE w:val="0"/>
              <w:autoSpaceDN w:val="0"/>
              <w:adjustRightInd w:val="0"/>
              <w:spacing w:before="60" w:after="60" w:line="240" w:lineRule="auto"/>
              <w:rPr>
                <w:rFonts w:cs="Arial-ItalicMT"/>
                <w:iCs/>
                <w:color w:val="372C74"/>
                <w:szCs w:val="22"/>
              </w:rPr>
            </w:pPr>
            <w:r>
              <w:rPr>
                <w:rFonts w:cs="Arial-ItalicMT"/>
                <w:iCs/>
                <w:color w:val="372C74"/>
                <w:szCs w:val="22"/>
              </w:rPr>
              <w:t>Životní prostředí ve městě i v celém ORP je potenciálním předpokladem pro rozvoj rekreačních aktivit a cestovního ruchu. Vhodně tak doplňuje kulturně-historický potenciál území.</w:t>
            </w:r>
          </w:p>
        </w:tc>
      </w:tr>
    </w:tbl>
    <w:p w:rsidR="00E66863" w:rsidRDefault="00E66863" w:rsidP="00E66863"/>
    <w:p w:rsidR="00E66863" w:rsidRDefault="00E66863" w:rsidP="00E66863">
      <w:pPr>
        <w:rPr>
          <w:color w:val="1B1639"/>
          <w:spacing w:val="15"/>
          <w:sz w:val="24"/>
          <w:szCs w:val="22"/>
        </w:rPr>
      </w:pPr>
      <w:r>
        <w:br w:type="page"/>
      </w:r>
    </w:p>
    <w:p w:rsidR="009E47EB" w:rsidRDefault="0058716F" w:rsidP="009E47EB">
      <w:pPr>
        <w:pStyle w:val="Nadpis3"/>
        <w:spacing w:line="240" w:lineRule="auto"/>
      </w:pPr>
      <w:bookmarkStart w:id="127" w:name="_Toc516058332"/>
      <w:r>
        <w:lastRenderedPageBreak/>
        <w:t>P</w:t>
      </w:r>
      <w:r w:rsidR="009E47EB">
        <w:t>.1.7</w:t>
      </w:r>
      <w:r w:rsidR="009E47EB" w:rsidRPr="005F0699">
        <w:t xml:space="preserve"> </w:t>
      </w:r>
      <w:r w:rsidR="009E47EB">
        <w:t>Správa města</w:t>
      </w:r>
      <w:bookmarkEnd w:id="127"/>
    </w:p>
    <w:p w:rsidR="009E47EB" w:rsidRDefault="009E47EB" w:rsidP="00220A16">
      <w:pPr>
        <w:spacing w:before="0" w:after="0"/>
      </w:pPr>
    </w:p>
    <w:p w:rsidR="009E47EB" w:rsidRPr="00FB73DB" w:rsidRDefault="009E47EB" w:rsidP="009E47EB">
      <w:pPr>
        <w:pStyle w:val="Nadpis4"/>
        <w:pBdr>
          <w:top w:val="none" w:sz="0" w:space="0" w:color="auto"/>
          <w:left w:val="none" w:sz="0" w:space="0" w:color="auto"/>
        </w:pBdr>
        <w:shd w:val="clear" w:color="auto" w:fill="372C74"/>
        <w:spacing w:before="0" w:after="200"/>
        <w:ind w:firstLine="0"/>
        <w:rPr>
          <w:color w:val="auto"/>
          <w:spacing w:val="4"/>
          <w:szCs w:val="24"/>
        </w:rPr>
      </w:pPr>
      <w:bookmarkStart w:id="128" w:name="_Toc516058333"/>
      <w:r w:rsidRPr="00FB73DB">
        <w:rPr>
          <w:color w:val="auto"/>
          <w:spacing w:val="4"/>
          <w:szCs w:val="24"/>
        </w:rPr>
        <w:t>I. Městský úřad a kompetence města</w:t>
      </w:r>
      <w:bookmarkEnd w:id="128"/>
      <w:r w:rsidRPr="00FB73DB">
        <w:rPr>
          <w:color w:val="auto"/>
          <w:spacing w:val="4"/>
          <w:szCs w:val="24"/>
        </w:rPr>
        <w:t xml:space="preserve"> </w:t>
      </w:r>
    </w:p>
    <w:p w:rsidR="00C27356" w:rsidRDefault="00C27356" w:rsidP="00C27356">
      <w:r>
        <w:t xml:space="preserve">Město má statut obce s rozšířenou působností a kromě toho, že je správním centrem regionu vykonává státní správu v přenesené působnosti. Kompetence města jsou dány zákonem o obcích. </w:t>
      </w:r>
    </w:p>
    <w:p w:rsidR="00C27356" w:rsidRDefault="00C27356" w:rsidP="00522A2E">
      <w:pPr>
        <w:spacing w:after="0"/>
      </w:pPr>
      <w:r>
        <w:t>Příspěvkové organizace</w:t>
      </w:r>
      <w:r w:rsidR="00935018">
        <w:t xml:space="preserve"> </w:t>
      </w:r>
      <w:r>
        <w:t>zřízené městem</w:t>
      </w:r>
    </w:p>
    <w:p w:rsidR="00C27356" w:rsidRPr="00044F90" w:rsidRDefault="00C27356" w:rsidP="006164A0">
      <w:pPr>
        <w:pStyle w:val="Odstavecseseznamem"/>
        <w:numPr>
          <w:ilvl w:val="0"/>
          <w:numId w:val="3"/>
        </w:numPr>
        <w:spacing w:before="120" w:after="120" w:line="240" w:lineRule="auto"/>
        <w:ind w:left="714" w:hanging="357"/>
        <w:rPr>
          <w:rFonts w:asciiTheme="majorHAnsi" w:hAnsiTheme="majorHAnsi"/>
          <w:color w:val="000090"/>
        </w:rPr>
      </w:pPr>
      <w:r w:rsidRPr="00FA7677">
        <w:rPr>
          <w:rFonts w:asciiTheme="majorHAnsi" w:hAnsiTheme="majorHAnsi"/>
          <w:color w:val="000090"/>
        </w:rPr>
        <w:t>Dům kultury Ostrov</w:t>
      </w:r>
    </w:p>
    <w:p w:rsidR="00C27356" w:rsidRPr="00044F90" w:rsidRDefault="00C27356" w:rsidP="006164A0">
      <w:pPr>
        <w:pStyle w:val="Odstavecseseznamem"/>
        <w:numPr>
          <w:ilvl w:val="0"/>
          <w:numId w:val="3"/>
        </w:numPr>
        <w:spacing w:before="120" w:after="120" w:line="240" w:lineRule="auto"/>
        <w:ind w:left="714" w:hanging="357"/>
        <w:rPr>
          <w:rFonts w:asciiTheme="majorHAnsi" w:hAnsiTheme="majorHAnsi"/>
          <w:color w:val="000090"/>
        </w:rPr>
      </w:pPr>
      <w:r>
        <w:rPr>
          <w:rFonts w:asciiTheme="majorHAnsi" w:hAnsiTheme="majorHAnsi"/>
          <w:color w:val="000090"/>
        </w:rPr>
        <w:t>Městský d</w:t>
      </w:r>
      <w:r w:rsidRPr="00044F90">
        <w:rPr>
          <w:rFonts w:asciiTheme="majorHAnsi" w:hAnsiTheme="majorHAnsi"/>
          <w:color w:val="000090"/>
        </w:rPr>
        <w:t>ům dětí a mládeže</w:t>
      </w:r>
      <w:r>
        <w:rPr>
          <w:rFonts w:asciiTheme="majorHAnsi" w:hAnsiTheme="majorHAnsi"/>
          <w:color w:val="000090"/>
        </w:rPr>
        <w:t xml:space="preserve"> Ostrov</w:t>
      </w:r>
    </w:p>
    <w:p w:rsidR="00C27356" w:rsidRPr="00044F90" w:rsidRDefault="00C27356" w:rsidP="006164A0">
      <w:pPr>
        <w:pStyle w:val="Odstavecseseznamem"/>
        <w:numPr>
          <w:ilvl w:val="0"/>
          <w:numId w:val="3"/>
        </w:numPr>
        <w:spacing w:before="120" w:after="120" w:line="240" w:lineRule="auto"/>
        <w:ind w:left="714" w:hanging="357"/>
        <w:rPr>
          <w:rFonts w:asciiTheme="majorHAnsi" w:hAnsiTheme="majorHAnsi"/>
          <w:color w:val="000090"/>
        </w:rPr>
      </w:pPr>
      <w:r w:rsidRPr="00DF033F">
        <w:rPr>
          <w:rFonts w:asciiTheme="majorHAnsi" w:hAnsiTheme="majorHAnsi"/>
          <w:color w:val="000090"/>
        </w:rPr>
        <w:t>Městská knihovna Ostrov</w:t>
      </w:r>
    </w:p>
    <w:p w:rsidR="00C27356" w:rsidRPr="00044F90" w:rsidRDefault="00C27356" w:rsidP="006164A0">
      <w:pPr>
        <w:pStyle w:val="Odstavecseseznamem"/>
        <w:numPr>
          <w:ilvl w:val="0"/>
          <w:numId w:val="3"/>
        </w:numPr>
        <w:spacing w:before="120" w:after="120" w:line="240" w:lineRule="auto"/>
        <w:ind w:left="714" w:hanging="357"/>
        <w:rPr>
          <w:rFonts w:asciiTheme="majorHAnsi" w:hAnsiTheme="majorHAnsi"/>
          <w:color w:val="000090"/>
        </w:rPr>
      </w:pPr>
      <w:r w:rsidRPr="00DF033F">
        <w:rPr>
          <w:rFonts w:asciiTheme="majorHAnsi" w:hAnsiTheme="majorHAnsi"/>
          <w:color w:val="000090"/>
        </w:rPr>
        <w:t>Základní umělecká škola Ostrov</w:t>
      </w:r>
    </w:p>
    <w:p w:rsidR="00C27356" w:rsidRPr="00044F90" w:rsidRDefault="00C27356" w:rsidP="006164A0">
      <w:pPr>
        <w:pStyle w:val="Odstavecseseznamem"/>
        <w:numPr>
          <w:ilvl w:val="0"/>
          <w:numId w:val="3"/>
        </w:numPr>
        <w:spacing w:before="120" w:after="120" w:line="240" w:lineRule="auto"/>
        <w:ind w:left="714" w:hanging="357"/>
        <w:rPr>
          <w:rFonts w:asciiTheme="majorHAnsi" w:hAnsiTheme="majorHAnsi"/>
          <w:color w:val="000090"/>
        </w:rPr>
      </w:pPr>
      <w:r w:rsidRPr="00044F90">
        <w:rPr>
          <w:rFonts w:asciiTheme="majorHAnsi" w:hAnsiTheme="majorHAnsi"/>
          <w:color w:val="000090"/>
        </w:rPr>
        <w:t>Mateřské školy</w:t>
      </w:r>
    </w:p>
    <w:p w:rsidR="00C27356" w:rsidRPr="00044F90" w:rsidRDefault="00C27356" w:rsidP="006164A0">
      <w:pPr>
        <w:pStyle w:val="Odstavecseseznamem"/>
        <w:numPr>
          <w:ilvl w:val="0"/>
          <w:numId w:val="3"/>
        </w:numPr>
        <w:spacing w:before="120" w:after="120" w:line="240" w:lineRule="auto"/>
        <w:ind w:left="714" w:hanging="357"/>
        <w:rPr>
          <w:rFonts w:asciiTheme="majorHAnsi" w:hAnsiTheme="majorHAnsi"/>
          <w:color w:val="000090"/>
        </w:rPr>
      </w:pPr>
      <w:r w:rsidRPr="00044F90">
        <w:rPr>
          <w:rFonts w:asciiTheme="majorHAnsi" w:hAnsiTheme="majorHAnsi"/>
          <w:color w:val="000090"/>
        </w:rPr>
        <w:t>Základní školy</w:t>
      </w:r>
    </w:p>
    <w:p w:rsidR="00C27356" w:rsidRDefault="00C27356" w:rsidP="00522A2E">
      <w:pPr>
        <w:spacing w:after="0"/>
      </w:pPr>
      <w:r>
        <w:t>Obchodní společnosti</w:t>
      </w:r>
      <w:r w:rsidR="00935018">
        <w:t xml:space="preserve"> založené městem nebo s majetkovou účastí města</w:t>
      </w:r>
    </w:p>
    <w:p w:rsidR="00C27356" w:rsidRDefault="0074524F" w:rsidP="006164A0">
      <w:pPr>
        <w:pStyle w:val="Odstavecseseznamem"/>
        <w:numPr>
          <w:ilvl w:val="0"/>
          <w:numId w:val="3"/>
        </w:numPr>
        <w:spacing w:before="120" w:after="120" w:line="240" w:lineRule="auto"/>
        <w:ind w:left="714" w:hanging="357"/>
        <w:rPr>
          <w:rFonts w:asciiTheme="majorHAnsi" w:hAnsiTheme="majorHAnsi"/>
          <w:color w:val="000090"/>
        </w:rPr>
      </w:pPr>
      <w:r>
        <w:rPr>
          <w:rFonts w:asciiTheme="majorHAnsi" w:hAnsiTheme="majorHAnsi"/>
          <w:color w:val="000090"/>
        </w:rPr>
        <w:t>Dopravní podnik Ostrov, s.r.o.</w:t>
      </w:r>
      <w:r w:rsidR="00C27356">
        <w:rPr>
          <w:rFonts w:asciiTheme="majorHAnsi" w:hAnsiTheme="majorHAnsi"/>
          <w:color w:val="000090"/>
        </w:rPr>
        <w:t xml:space="preserve"> </w:t>
      </w:r>
    </w:p>
    <w:p w:rsidR="00522A2E" w:rsidRDefault="00522A2E" w:rsidP="006164A0">
      <w:pPr>
        <w:pStyle w:val="Odstavecseseznamem"/>
        <w:numPr>
          <w:ilvl w:val="0"/>
          <w:numId w:val="3"/>
        </w:numPr>
        <w:spacing w:before="120" w:after="120" w:line="240" w:lineRule="auto"/>
        <w:ind w:left="714" w:hanging="357"/>
        <w:rPr>
          <w:rFonts w:asciiTheme="majorHAnsi" w:hAnsiTheme="majorHAnsi"/>
          <w:color w:val="000090"/>
        </w:rPr>
      </w:pPr>
      <w:r w:rsidRPr="00522A2E">
        <w:rPr>
          <w:rFonts w:asciiTheme="majorHAnsi" w:hAnsiTheme="majorHAnsi"/>
          <w:color w:val="000090"/>
        </w:rPr>
        <w:t>Ostrovská teplárenská, a.s.</w:t>
      </w:r>
    </w:p>
    <w:p w:rsidR="009D03F4" w:rsidRDefault="009D03F4" w:rsidP="006164A0">
      <w:pPr>
        <w:pStyle w:val="Odstavecseseznamem"/>
        <w:numPr>
          <w:ilvl w:val="0"/>
          <w:numId w:val="3"/>
        </w:numPr>
        <w:spacing w:before="120" w:after="120" w:line="240" w:lineRule="auto"/>
        <w:ind w:left="714" w:hanging="357"/>
        <w:rPr>
          <w:rFonts w:asciiTheme="majorHAnsi" w:hAnsiTheme="majorHAnsi"/>
          <w:color w:val="000090"/>
        </w:rPr>
      </w:pPr>
      <w:r>
        <w:rPr>
          <w:rFonts w:asciiTheme="majorHAnsi" w:hAnsiTheme="majorHAnsi"/>
          <w:color w:val="000090"/>
        </w:rPr>
        <w:t>Kabel Ostrov, s.r.o.</w:t>
      </w:r>
    </w:p>
    <w:p w:rsidR="009D03F4" w:rsidRDefault="009D03F4" w:rsidP="009D03F4">
      <w:pPr>
        <w:pStyle w:val="Odstavecseseznamem"/>
        <w:numPr>
          <w:ilvl w:val="0"/>
          <w:numId w:val="3"/>
        </w:numPr>
        <w:spacing w:before="120" w:after="120" w:line="240" w:lineRule="auto"/>
        <w:ind w:left="714" w:hanging="357"/>
        <w:rPr>
          <w:rFonts w:asciiTheme="majorHAnsi" w:hAnsiTheme="majorHAnsi"/>
          <w:color w:val="000090"/>
        </w:rPr>
      </w:pPr>
      <w:r>
        <w:rPr>
          <w:rFonts w:asciiTheme="majorHAnsi" w:hAnsiTheme="majorHAnsi"/>
          <w:color w:val="000090"/>
        </w:rPr>
        <w:t>Komunální odpadová, a.s.</w:t>
      </w:r>
    </w:p>
    <w:p w:rsidR="007A6085" w:rsidRPr="00E66863" w:rsidRDefault="009D03F4" w:rsidP="00E66863">
      <w:pPr>
        <w:spacing w:after="0"/>
      </w:pPr>
      <w:r w:rsidRPr="00E66863">
        <w:t>Sdružení a svazy, jejichž je město členem</w:t>
      </w:r>
    </w:p>
    <w:p w:rsidR="007A6085" w:rsidRPr="00EE0E72" w:rsidRDefault="009D03F4" w:rsidP="00EE0E72">
      <w:pPr>
        <w:pStyle w:val="Odstavecseseznamem"/>
        <w:numPr>
          <w:ilvl w:val="0"/>
          <w:numId w:val="11"/>
        </w:numPr>
        <w:spacing w:before="120" w:after="120" w:line="240" w:lineRule="auto"/>
        <w:rPr>
          <w:rFonts w:asciiTheme="majorHAnsi" w:hAnsiTheme="majorHAnsi"/>
          <w:i/>
          <w:color w:val="000090"/>
        </w:rPr>
      </w:pPr>
      <w:r w:rsidRPr="00EE0E72">
        <w:rPr>
          <w:rFonts w:asciiTheme="majorHAnsi" w:hAnsiTheme="majorHAnsi"/>
          <w:i/>
          <w:color w:val="000090"/>
        </w:rPr>
        <w:t>Svaz měst a obcí</w:t>
      </w:r>
    </w:p>
    <w:p w:rsidR="007A6085" w:rsidRPr="00EE0E72" w:rsidRDefault="009D03F4" w:rsidP="00EE0E72">
      <w:pPr>
        <w:pStyle w:val="Odstavecseseznamem"/>
        <w:numPr>
          <w:ilvl w:val="0"/>
          <w:numId w:val="11"/>
        </w:numPr>
        <w:spacing w:before="120" w:after="120" w:line="240" w:lineRule="auto"/>
        <w:rPr>
          <w:rFonts w:asciiTheme="majorHAnsi" w:hAnsiTheme="majorHAnsi"/>
          <w:i/>
          <w:color w:val="000090"/>
        </w:rPr>
      </w:pPr>
      <w:r w:rsidRPr="00EE0E72">
        <w:rPr>
          <w:rFonts w:asciiTheme="majorHAnsi" w:hAnsiTheme="majorHAnsi"/>
          <w:i/>
          <w:color w:val="000090"/>
        </w:rPr>
        <w:t>Mikroregion Krušné Hory – Západ</w:t>
      </w:r>
    </w:p>
    <w:p w:rsidR="007A6085" w:rsidRPr="00EE0E72" w:rsidRDefault="009D03F4" w:rsidP="00EE0E72">
      <w:pPr>
        <w:pStyle w:val="Odstavecseseznamem"/>
        <w:numPr>
          <w:ilvl w:val="0"/>
          <w:numId w:val="11"/>
        </w:numPr>
        <w:spacing w:before="120" w:after="120" w:line="240" w:lineRule="auto"/>
        <w:rPr>
          <w:rFonts w:asciiTheme="majorHAnsi" w:hAnsiTheme="majorHAnsi"/>
          <w:i/>
          <w:color w:val="000090"/>
        </w:rPr>
      </w:pPr>
      <w:r w:rsidRPr="00EE0E72">
        <w:rPr>
          <w:rFonts w:asciiTheme="majorHAnsi" w:hAnsiTheme="majorHAnsi"/>
          <w:i/>
          <w:color w:val="000090"/>
        </w:rPr>
        <w:t>Euregio Egrensis</w:t>
      </w:r>
    </w:p>
    <w:p w:rsidR="007A6085" w:rsidRDefault="00E66863" w:rsidP="007A6085">
      <w:pPr>
        <w:spacing w:before="120" w:after="120" w:line="240" w:lineRule="auto"/>
        <w:rPr>
          <w:rFonts w:asciiTheme="majorHAnsi" w:hAnsiTheme="majorHAnsi"/>
          <w:i/>
          <w:color w:val="000090"/>
        </w:rPr>
      </w:pPr>
      <w:r>
        <w:rPr>
          <w:rFonts w:asciiTheme="majorHAnsi" w:hAnsiTheme="majorHAnsi"/>
          <w:i/>
          <w:color w:val="000090"/>
        </w:rPr>
        <w:t xml:space="preserve"> </w:t>
      </w:r>
    </w:p>
    <w:p w:rsidR="007A6085" w:rsidRPr="007A6085" w:rsidRDefault="007A6085" w:rsidP="007A6085">
      <w:pPr>
        <w:spacing w:before="120" w:after="120" w:line="240" w:lineRule="auto"/>
        <w:rPr>
          <w:rFonts w:asciiTheme="majorHAnsi" w:hAnsiTheme="majorHAnsi"/>
          <w:i/>
          <w:color w:val="000090"/>
        </w:rPr>
      </w:pPr>
    </w:p>
    <w:p w:rsidR="00044F90" w:rsidRPr="00044F90" w:rsidRDefault="00044F90" w:rsidP="00220A16">
      <w:pPr>
        <w:spacing w:before="0" w:after="0" w:line="240" w:lineRule="auto"/>
        <w:rPr>
          <w:rFonts w:asciiTheme="majorHAnsi" w:hAnsiTheme="majorHAnsi"/>
          <w:color w:val="000090"/>
        </w:rPr>
      </w:pPr>
    </w:p>
    <w:p w:rsidR="009E47EB" w:rsidRPr="00FB73DB" w:rsidRDefault="009E47EB" w:rsidP="009E47EB">
      <w:pPr>
        <w:pStyle w:val="Nadpis4"/>
        <w:pBdr>
          <w:top w:val="none" w:sz="0" w:space="0" w:color="auto"/>
          <w:left w:val="none" w:sz="0" w:space="0" w:color="auto"/>
        </w:pBdr>
        <w:shd w:val="clear" w:color="auto" w:fill="372C74"/>
        <w:spacing w:before="0" w:after="200"/>
        <w:ind w:firstLine="0"/>
        <w:rPr>
          <w:color w:val="auto"/>
          <w:spacing w:val="4"/>
          <w:szCs w:val="24"/>
        </w:rPr>
      </w:pPr>
      <w:bookmarkStart w:id="129" w:name="_Toc516058334"/>
      <w:r w:rsidRPr="00FB73DB">
        <w:rPr>
          <w:color w:val="auto"/>
          <w:spacing w:val="4"/>
          <w:szCs w:val="24"/>
        </w:rPr>
        <w:t>II. Hospodaření a majetek města</w:t>
      </w:r>
      <w:bookmarkEnd w:id="129"/>
      <w:r w:rsidRPr="00FB73DB">
        <w:rPr>
          <w:color w:val="auto"/>
          <w:spacing w:val="4"/>
          <w:szCs w:val="24"/>
        </w:rPr>
        <w:t xml:space="preserve"> </w:t>
      </w:r>
    </w:p>
    <w:p w:rsidR="00C27356" w:rsidRPr="00C27356" w:rsidRDefault="00C27356" w:rsidP="00C27356">
      <w:r w:rsidRPr="00C27356">
        <w:t>O vývoji hospodaření města vypovídá tabulka charakteristických hodnot. Vývoj v letech 2010 až 2016 nevykazuje žádné problémové hodnoty a detailně je popsán následující tabulkou. Hospodaření města lze označit za spíše konzervativní, protože klíčové ukazatele sledované m. j. MF ČR jsou plněny s velkou rezervou.</w:t>
      </w:r>
    </w:p>
    <w:p w:rsidR="001B3CEE" w:rsidRPr="00C27356" w:rsidRDefault="00C27356" w:rsidP="00C27356">
      <w:r w:rsidRPr="00C27356">
        <w:t>Příjem na obyvatele je relativně stabilní a umožňuje předvídat příjmy příštích období, resp. sestavovat finanční plány. Zadluženost města je minimální a pohybuje se zhruba na desetině limitní hodnoty. S tím souvisí i minimální až nulový ukazatel dluhové služby a likvidita je více než dvojnásobná, než je limitní hodnota.</w:t>
      </w:r>
    </w:p>
    <w:p w:rsidR="00E66863" w:rsidRDefault="00E66863" w:rsidP="006B3F05">
      <w:pPr>
        <w:spacing w:before="0" w:after="120"/>
        <w:rPr>
          <w:rFonts w:asciiTheme="minorHAnsi" w:hAnsiTheme="minorHAnsi" w:cs="Arial-ItalicMT"/>
          <w:b/>
          <w:bCs/>
          <w:iCs/>
          <w:color w:val="372C74"/>
          <w:spacing w:val="10"/>
          <w:sz w:val="18"/>
          <w:szCs w:val="22"/>
        </w:rPr>
      </w:pPr>
    </w:p>
    <w:p w:rsidR="00E66863" w:rsidRDefault="00E66863" w:rsidP="006B3F05">
      <w:pPr>
        <w:spacing w:before="0" w:after="120"/>
        <w:rPr>
          <w:rFonts w:asciiTheme="minorHAnsi" w:hAnsiTheme="minorHAnsi" w:cs="Arial-ItalicMT"/>
          <w:b/>
          <w:bCs/>
          <w:iCs/>
          <w:color w:val="372C74"/>
          <w:spacing w:val="10"/>
          <w:sz w:val="18"/>
          <w:szCs w:val="22"/>
        </w:rPr>
      </w:pPr>
    </w:p>
    <w:p w:rsidR="006B3F05" w:rsidRPr="009D5F06" w:rsidRDefault="006B3F05" w:rsidP="006B3F05">
      <w:pPr>
        <w:spacing w:before="0" w:after="120"/>
        <w:rPr>
          <w:rFonts w:asciiTheme="minorHAnsi" w:hAnsiTheme="minorHAnsi" w:cs="Arial-ItalicMT"/>
          <w:iCs/>
          <w:sz w:val="18"/>
          <w:szCs w:val="18"/>
        </w:rPr>
      </w:pPr>
      <w:bookmarkStart w:id="130" w:name="_Toc516059038"/>
      <w:r w:rsidRPr="00684E79">
        <w:rPr>
          <w:rFonts w:asciiTheme="minorHAnsi" w:hAnsiTheme="minorHAnsi" w:cs="Arial-ItalicMT"/>
          <w:b/>
          <w:bCs/>
          <w:iCs/>
          <w:color w:val="372C74"/>
          <w:spacing w:val="10"/>
          <w:sz w:val="18"/>
          <w:szCs w:val="22"/>
        </w:rPr>
        <w:lastRenderedPageBreak/>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29</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6B3F05">
        <w:rPr>
          <w:rFonts w:asciiTheme="minorHAnsi" w:hAnsiTheme="minorHAnsi" w:cs="Arial-ItalicMT"/>
          <w:iCs/>
          <w:sz w:val="18"/>
          <w:szCs w:val="18"/>
        </w:rPr>
        <w:t>Vývoj hospodaření města</w:t>
      </w:r>
      <w:bookmarkEnd w:id="130"/>
    </w:p>
    <w:tbl>
      <w:tblPr>
        <w:tblStyle w:val="Mkatabulky"/>
        <w:tblW w:w="0" w:type="auto"/>
        <w:jc w:val="center"/>
        <w:tblLook w:val="04A0" w:firstRow="1" w:lastRow="0" w:firstColumn="1" w:lastColumn="0" w:noHBand="0" w:noVBand="1"/>
      </w:tblPr>
      <w:tblGrid>
        <w:gridCol w:w="4362"/>
        <w:gridCol w:w="738"/>
        <w:gridCol w:w="738"/>
        <w:gridCol w:w="738"/>
        <w:gridCol w:w="738"/>
        <w:gridCol w:w="738"/>
        <w:gridCol w:w="738"/>
        <w:gridCol w:w="738"/>
      </w:tblGrid>
      <w:tr w:rsidR="00C27356" w:rsidRPr="00DF033F" w:rsidTr="0008590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2" w:type="dxa"/>
          </w:tcPr>
          <w:p w:rsidR="00C27356" w:rsidRPr="00DF033F" w:rsidRDefault="00C27356" w:rsidP="0008590C">
            <w:pPr>
              <w:spacing w:before="0" w:after="0"/>
              <w:rPr>
                <w:rFonts w:asciiTheme="majorHAnsi" w:hAnsiTheme="majorHAnsi"/>
                <w:b/>
                <w:sz w:val="18"/>
                <w:szCs w:val="18"/>
              </w:rPr>
            </w:pPr>
            <w:r w:rsidRPr="00DF033F">
              <w:rPr>
                <w:rFonts w:asciiTheme="majorHAnsi" w:hAnsiTheme="majorHAnsi"/>
                <w:b/>
                <w:sz w:val="18"/>
                <w:szCs w:val="18"/>
              </w:rPr>
              <w:t>Finanční ukazatel</w:t>
            </w:r>
          </w:p>
        </w:tc>
        <w:tc>
          <w:tcPr>
            <w:tcW w:w="738" w:type="dxa"/>
          </w:tcPr>
          <w:p w:rsidR="00C27356" w:rsidRPr="00DF033F" w:rsidRDefault="00C27356" w:rsidP="0008590C">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DF033F">
              <w:rPr>
                <w:rFonts w:asciiTheme="majorHAnsi" w:hAnsiTheme="majorHAnsi"/>
                <w:b/>
                <w:sz w:val="18"/>
                <w:szCs w:val="18"/>
              </w:rPr>
              <w:t>2010</w:t>
            </w:r>
          </w:p>
        </w:tc>
        <w:tc>
          <w:tcPr>
            <w:tcW w:w="738" w:type="dxa"/>
          </w:tcPr>
          <w:p w:rsidR="00C27356" w:rsidRPr="00DF033F" w:rsidRDefault="00C27356" w:rsidP="0008590C">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DF033F">
              <w:rPr>
                <w:rFonts w:asciiTheme="majorHAnsi" w:hAnsiTheme="majorHAnsi"/>
                <w:b/>
                <w:sz w:val="18"/>
                <w:szCs w:val="18"/>
              </w:rPr>
              <w:t>2011</w:t>
            </w:r>
          </w:p>
        </w:tc>
        <w:tc>
          <w:tcPr>
            <w:tcW w:w="738" w:type="dxa"/>
          </w:tcPr>
          <w:p w:rsidR="00C27356" w:rsidRPr="00DF033F" w:rsidRDefault="00C27356" w:rsidP="0008590C">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sidRPr="00DF033F">
              <w:rPr>
                <w:rFonts w:asciiTheme="majorHAnsi" w:hAnsiTheme="majorHAnsi"/>
                <w:b/>
                <w:sz w:val="18"/>
                <w:szCs w:val="18"/>
              </w:rPr>
              <w:t>2012</w:t>
            </w:r>
          </w:p>
        </w:tc>
        <w:tc>
          <w:tcPr>
            <w:tcW w:w="738" w:type="dxa"/>
          </w:tcPr>
          <w:p w:rsidR="00C27356" w:rsidRPr="00DF033F" w:rsidRDefault="00C27356" w:rsidP="0008590C">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Pr>
                <w:rFonts w:asciiTheme="majorHAnsi" w:hAnsiTheme="majorHAnsi"/>
                <w:b/>
                <w:sz w:val="18"/>
                <w:szCs w:val="18"/>
              </w:rPr>
              <w:t>2013</w:t>
            </w:r>
          </w:p>
        </w:tc>
        <w:tc>
          <w:tcPr>
            <w:tcW w:w="738" w:type="dxa"/>
          </w:tcPr>
          <w:p w:rsidR="00C27356" w:rsidRPr="00DF033F" w:rsidRDefault="00C27356" w:rsidP="0008590C">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Pr>
                <w:rFonts w:asciiTheme="majorHAnsi" w:hAnsiTheme="majorHAnsi"/>
                <w:b/>
                <w:sz w:val="18"/>
                <w:szCs w:val="18"/>
              </w:rPr>
              <w:t>2014</w:t>
            </w:r>
          </w:p>
        </w:tc>
        <w:tc>
          <w:tcPr>
            <w:tcW w:w="738" w:type="dxa"/>
          </w:tcPr>
          <w:p w:rsidR="00C27356" w:rsidRPr="00DF033F" w:rsidRDefault="00C27356" w:rsidP="0008590C">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Pr>
                <w:rFonts w:asciiTheme="majorHAnsi" w:hAnsiTheme="majorHAnsi"/>
                <w:b/>
                <w:sz w:val="18"/>
                <w:szCs w:val="18"/>
              </w:rPr>
              <w:t>2015</w:t>
            </w:r>
          </w:p>
        </w:tc>
        <w:tc>
          <w:tcPr>
            <w:tcW w:w="738" w:type="dxa"/>
          </w:tcPr>
          <w:p w:rsidR="00C27356" w:rsidRPr="00DF033F" w:rsidRDefault="00C27356" w:rsidP="0008590C">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8"/>
                <w:szCs w:val="18"/>
              </w:rPr>
            </w:pPr>
            <w:r>
              <w:rPr>
                <w:rFonts w:asciiTheme="majorHAnsi" w:hAnsiTheme="majorHAnsi"/>
                <w:b/>
                <w:sz w:val="18"/>
                <w:szCs w:val="18"/>
              </w:rPr>
              <w:t>2016</w:t>
            </w:r>
          </w:p>
        </w:tc>
      </w:tr>
      <w:tr w:rsidR="00C27356" w:rsidRPr="004A3E24" w:rsidTr="0008590C">
        <w:trPr>
          <w:jc w:val="center"/>
        </w:trPr>
        <w:tc>
          <w:tcPr>
            <w:cnfStyle w:val="001000000000" w:firstRow="0" w:lastRow="0" w:firstColumn="1" w:lastColumn="0" w:oddVBand="0" w:evenVBand="0" w:oddHBand="0" w:evenHBand="0" w:firstRowFirstColumn="0" w:firstRowLastColumn="0" w:lastRowFirstColumn="0" w:lastRowLastColumn="0"/>
            <w:tcW w:w="4362" w:type="dxa"/>
            <w:vAlign w:val="bottom"/>
          </w:tcPr>
          <w:p w:rsidR="00C27356" w:rsidRPr="00DF033F" w:rsidRDefault="00C27356" w:rsidP="0008590C">
            <w:pPr>
              <w:spacing w:before="0" w:after="0" w:line="240" w:lineRule="auto"/>
              <w:rPr>
                <w:color w:val="000000"/>
                <w:sz w:val="16"/>
                <w:szCs w:val="16"/>
              </w:rPr>
            </w:pPr>
            <w:r w:rsidRPr="00DF033F">
              <w:rPr>
                <w:color w:val="000000"/>
                <w:sz w:val="16"/>
                <w:szCs w:val="16"/>
              </w:rPr>
              <w:t>Příjem na obyvatele v tis. Kč</w:t>
            </w:r>
            <w:r w:rsidRPr="00DF033F">
              <w:rPr>
                <w:rStyle w:val="Znakapoznpodarou"/>
                <w:color w:val="000000"/>
                <w:sz w:val="16"/>
                <w:szCs w:val="16"/>
              </w:rPr>
              <w:footnoteReference w:id="21"/>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26,5</w:t>
            </w:r>
            <w:r>
              <w:rPr>
                <w:rFonts w:cs="Calibri"/>
                <w:bCs/>
                <w:color w:val="000000"/>
                <w:sz w:val="16"/>
                <w:szCs w:val="16"/>
              </w:rPr>
              <w:t>0</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25,75</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19,44</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22,76</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22,59</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26,21</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22,75</w:t>
            </w:r>
          </w:p>
        </w:tc>
      </w:tr>
      <w:tr w:rsidR="00C27356" w:rsidRPr="004A3E24" w:rsidTr="0008590C">
        <w:trPr>
          <w:jc w:val="center"/>
        </w:trPr>
        <w:tc>
          <w:tcPr>
            <w:cnfStyle w:val="001000000000" w:firstRow="0" w:lastRow="0" w:firstColumn="1" w:lastColumn="0" w:oddVBand="0" w:evenVBand="0" w:oddHBand="0" w:evenHBand="0" w:firstRowFirstColumn="0" w:firstRowLastColumn="0" w:lastRowFirstColumn="0" w:lastRowLastColumn="0"/>
            <w:tcW w:w="4362" w:type="dxa"/>
            <w:vAlign w:val="bottom"/>
          </w:tcPr>
          <w:p w:rsidR="00C27356" w:rsidRPr="00DF033F" w:rsidRDefault="00C27356" w:rsidP="0008590C">
            <w:pPr>
              <w:spacing w:before="0" w:after="0" w:line="240" w:lineRule="auto"/>
              <w:rPr>
                <w:color w:val="000000"/>
                <w:sz w:val="16"/>
                <w:szCs w:val="16"/>
              </w:rPr>
            </w:pPr>
            <w:r w:rsidRPr="00DF033F">
              <w:rPr>
                <w:color w:val="000000"/>
                <w:sz w:val="16"/>
                <w:szCs w:val="16"/>
              </w:rPr>
              <w:t>Cizí zdroje na obyvatele v tis. Kč</w:t>
            </w:r>
            <w:r w:rsidRPr="00DF033F">
              <w:rPr>
                <w:rStyle w:val="Znakapoznpodarou"/>
                <w:color w:val="000000"/>
                <w:sz w:val="16"/>
                <w:szCs w:val="16"/>
              </w:rPr>
              <w:footnoteReference w:id="22"/>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3,49</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3,38</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3,97</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5,09</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4,45</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6,24</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4,09</w:t>
            </w:r>
          </w:p>
        </w:tc>
      </w:tr>
      <w:tr w:rsidR="00C27356" w:rsidRPr="004A3E24" w:rsidTr="0008590C">
        <w:trPr>
          <w:jc w:val="center"/>
        </w:trPr>
        <w:tc>
          <w:tcPr>
            <w:cnfStyle w:val="001000000000" w:firstRow="0" w:lastRow="0" w:firstColumn="1" w:lastColumn="0" w:oddVBand="0" w:evenVBand="0" w:oddHBand="0" w:evenHBand="0" w:firstRowFirstColumn="0" w:firstRowLastColumn="0" w:lastRowFirstColumn="0" w:lastRowLastColumn="0"/>
            <w:tcW w:w="4362" w:type="dxa"/>
            <w:vAlign w:val="bottom"/>
          </w:tcPr>
          <w:p w:rsidR="00C27356" w:rsidRPr="00DF033F" w:rsidRDefault="00C27356" w:rsidP="0008590C">
            <w:pPr>
              <w:spacing w:before="0" w:after="0" w:line="240" w:lineRule="auto"/>
              <w:rPr>
                <w:b/>
                <w:bCs/>
                <w:color w:val="000000"/>
                <w:sz w:val="16"/>
                <w:szCs w:val="16"/>
              </w:rPr>
            </w:pPr>
            <w:r w:rsidRPr="00DF033F">
              <w:rPr>
                <w:b/>
                <w:bCs/>
                <w:color w:val="000000"/>
                <w:sz w:val="16"/>
                <w:szCs w:val="16"/>
              </w:rPr>
              <w:t>Podíl cizích zdrojů na celkových aktivech v %</w:t>
            </w:r>
            <w:r w:rsidRPr="00DF033F">
              <w:rPr>
                <w:rStyle w:val="Znakapoznpodarou"/>
                <w:b/>
                <w:bCs/>
                <w:color w:val="000000"/>
                <w:sz w:val="16"/>
                <w:szCs w:val="16"/>
              </w:rPr>
              <w:footnoteReference w:id="23"/>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2,51%</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2,74%</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2,54%</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3,09%</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2,62%</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3,44%</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2,24%</w:t>
            </w:r>
          </w:p>
        </w:tc>
      </w:tr>
      <w:tr w:rsidR="00C27356" w:rsidRPr="004A3E24" w:rsidTr="0008590C">
        <w:trPr>
          <w:jc w:val="center"/>
        </w:trPr>
        <w:tc>
          <w:tcPr>
            <w:cnfStyle w:val="001000000000" w:firstRow="0" w:lastRow="0" w:firstColumn="1" w:lastColumn="0" w:oddVBand="0" w:evenVBand="0" w:oddHBand="0" w:evenHBand="0" w:firstRowFirstColumn="0" w:firstRowLastColumn="0" w:lastRowFirstColumn="0" w:lastRowLastColumn="0"/>
            <w:tcW w:w="4362" w:type="dxa"/>
            <w:vAlign w:val="bottom"/>
          </w:tcPr>
          <w:p w:rsidR="00C27356" w:rsidRPr="00DF033F" w:rsidRDefault="00C27356" w:rsidP="0008590C">
            <w:pPr>
              <w:spacing w:before="0" w:after="0" w:line="240" w:lineRule="auto"/>
              <w:rPr>
                <w:color w:val="000000"/>
                <w:sz w:val="16"/>
                <w:szCs w:val="16"/>
              </w:rPr>
            </w:pPr>
            <w:r w:rsidRPr="00DF033F">
              <w:rPr>
                <w:color w:val="000000"/>
                <w:sz w:val="16"/>
                <w:szCs w:val="16"/>
              </w:rPr>
              <w:t>Ukazatel dluhové služby v %</w:t>
            </w:r>
            <w:r w:rsidRPr="00DF033F">
              <w:rPr>
                <w:rStyle w:val="Znakapoznpodarou"/>
                <w:color w:val="000000"/>
                <w:sz w:val="16"/>
                <w:szCs w:val="16"/>
              </w:rPr>
              <w:footnoteReference w:id="24"/>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0,45%</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0,46%</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0,62%</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0,00%</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0,00%</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0,00%</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0,00%</w:t>
            </w:r>
          </w:p>
        </w:tc>
      </w:tr>
      <w:tr w:rsidR="00C27356" w:rsidRPr="004A3E24" w:rsidTr="0008590C">
        <w:trPr>
          <w:jc w:val="center"/>
        </w:trPr>
        <w:tc>
          <w:tcPr>
            <w:cnfStyle w:val="001000000000" w:firstRow="0" w:lastRow="0" w:firstColumn="1" w:lastColumn="0" w:oddVBand="0" w:evenVBand="0" w:oddHBand="0" w:evenHBand="0" w:firstRowFirstColumn="0" w:firstRowLastColumn="0" w:lastRowFirstColumn="0" w:lastRowLastColumn="0"/>
            <w:tcW w:w="4362" w:type="dxa"/>
            <w:vAlign w:val="bottom"/>
          </w:tcPr>
          <w:p w:rsidR="00C27356" w:rsidRPr="00DF033F" w:rsidRDefault="00C27356" w:rsidP="0008590C">
            <w:pPr>
              <w:spacing w:before="0" w:after="0" w:line="240" w:lineRule="auto"/>
              <w:rPr>
                <w:b/>
                <w:bCs/>
                <w:color w:val="000000"/>
                <w:sz w:val="16"/>
                <w:szCs w:val="16"/>
              </w:rPr>
            </w:pPr>
            <w:r w:rsidRPr="00DF033F">
              <w:rPr>
                <w:b/>
                <w:bCs/>
                <w:color w:val="000000"/>
                <w:sz w:val="16"/>
                <w:szCs w:val="16"/>
              </w:rPr>
              <w:t>Celková likvidita</w:t>
            </w:r>
            <w:r w:rsidRPr="00DF033F">
              <w:rPr>
                <w:rStyle w:val="Znakapoznpodarou"/>
                <w:b/>
                <w:bCs/>
                <w:color w:val="000000"/>
                <w:sz w:val="16"/>
                <w:szCs w:val="16"/>
              </w:rPr>
              <w:footnoteReference w:id="25"/>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2,67</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2,98</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2,41</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2,09</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1,85</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2,01</w:t>
            </w:r>
          </w:p>
        </w:tc>
        <w:tc>
          <w:tcPr>
            <w:tcW w:w="738" w:type="dxa"/>
            <w:vAlign w:val="top"/>
          </w:tcPr>
          <w:p w:rsidR="00C27356" w:rsidRPr="00271C88" w:rsidRDefault="00C27356" w:rsidP="0008590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cs="Calibri"/>
                <w:bCs/>
                <w:color w:val="000000"/>
                <w:sz w:val="16"/>
                <w:szCs w:val="16"/>
              </w:rPr>
            </w:pPr>
            <w:r w:rsidRPr="00271C88">
              <w:rPr>
                <w:rFonts w:cs="Calibri"/>
                <w:bCs/>
                <w:color w:val="000000"/>
                <w:sz w:val="16"/>
                <w:szCs w:val="16"/>
              </w:rPr>
              <w:t>2,61</w:t>
            </w:r>
          </w:p>
        </w:tc>
      </w:tr>
    </w:tbl>
    <w:p w:rsidR="00472EFC" w:rsidRDefault="00472EFC" w:rsidP="00220A16">
      <w:pPr>
        <w:spacing w:before="0" w:after="0" w:line="240" w:lineRule="auto"/>
        <w:rPr>
          <w:sz w:val="18"/>
          <w:szCs w:val="18"/>
        </w:rPr>
      </w:pPr>
      <w:r w:rsidRPr="00472EFC">
        <w:rPr>
          <w:sz w:val="18"/>
          <w:szCs w:val="18"/>
        </w:rPr>
        <w:t>Zdroj: MF ČR</w:t>
      </w:r>
      <w:r w:rsidR="005045CB">
        <w:rPr>
          <w:sz w:val="18"/>
          <w:szCs w:val="18"/>
        </w:rPr>
        <w:t xml:space="preserve"> (</w:t>
      </w:r>
      <w:r w:rsidR="005045CB" w:rsidRPr="005045CB">
        <w:rPr>
          <w:color w:val="000000"/>
          <w:sz w:val="18"/>
          <w:szCs w:val="18"/>
          <w:shd w:val="clear" w:color="auto" w:fill="FFFFF0"/>
        </w:rPr>
        <w:t>Obce, u nichž je ukazatel celkové likvidity v intervalu &lt;0; 1&gt; a zároveň je podíl jejich cizích zdrojů k celkovým aktivům vyšší než 25 % včetně, jsou osloveny dopisem ministra financí.</w:t>
      </w:r>
      <w:r w:rsidR="005045CB">
        <w:rPr>
          <w:color w:val="000000"/>
          <w:sz w:val="18"/>
          <w:szCs w:val="18"/>
          <w:shd w:val="clear" w:color="auto" w:fill="FFFFF0"/>
        </w:rPr>
        <w:t>)</w:t>
      </w:r>
    </w:p>
    <w:p w:rsidR="00C27356" w:rsidRDefault="00C27356" w:rsidP="00C27356">
      <w:r>
        <w:t>Ekonomická situace města vytváří předpoklad pro bezproblémové financování přiměřeně náročných rozvojových záměrů navazujících na SPRMO</w:t>
      </w:r>
      <w:r w:rsidR="00935018">
        <w:t xml:space="preserve"> aniž by bylo nezbytné zvyšovat zátěž obyvatel</w:t>
      </w:r>
      <w:r>
        <w:t>.</w:t>
      </w:r>
      <w:r w:rsidR="00935018">
        <w:t xml:space="preserve"> </w:t>
      </w:r>
      <w:r>
        <w:t xml:space="preserve">Pro občany města je </w:t>
      </w:r>
      <w:r w:rsidR="00935018">
        <w:t xml:space="preserve">tedy </w:t>
      </w:r>
      <w:r>
        <w:t xml:space="preserve">z hlediska poplatků pozitivní </w:t>
      </w:r>
      <w:r w:rsidR="00935018">
        <w:t>předpoklad</w:t>
      </w:r>
      <w:r>
        <w:t xml:space="preserve"> zachování jejich stávající úrovně.</w:t>
      </w:r>
    </w:p>
    <w:p w:rsidR="000D2EF6" w:rsidRDefault="000D2EF6" w:rsidP="000D2EF6">
      <w:r>
        <w:t>Z ukazatele dluhové služby za poslední roky je vidět, že město pokrývá svůj rozpočet bez potřeby bankovních úvěrů. Usnesením Zastupitelstva města č. 208/16 ze dne 7. 9. 2016 byl schválen statut Fondu rezerv a rozvoje, jehož zdroji jsou přebytky hospodaření minulých let, příjmy běžného roku, které nejsou určeny k využití v běžném roce, převody prostředků z rozpočtu během roku. Použití fondu je zejména na krytí případného schodku hospodaření, krytí přechodného nedostatku finančních prostředků na základních běžných účtech města, průběžné zhodnocování dočasně volných prostředků bankovního účtu FRR, posílení financování rozpočtu města Ostrov bez účelového určení a financování dalších jmenovitě určených akcí.</w:t>
      </w:r>
    </w:p>
    <w:p w:rsidR="00C27356" w:rsidRDefault="00C27356" w:rsidP="00C27356">
      <w:r>
        <w:t xml:space="preserve">V oblasti správy majetku města </w:t>
      </w:r>
      <w:r w:rsidR="000D2EF6">
        <w:t xml:space="preserve">však </w:t>
      </w:r>
      <w:r>
        <w:t>chybí analytický materiál, který by kvantifikoval vzájemné vazby mezi dlouhodobými potřebami na financování údržby a prosté obnovy nemovitostí v majetku města</w:t>
      </w:r>
      <w:r w:rsidR="001A2C89">
        <w:t>,</w:t>
      </w:r>
      <w:r>
        <w:t xml:space="preserve"> reálně vynakládanými prostředky</w:t>
      </w:r>
      <w:r w:rsidR="001A2C89">
        <w:t xml:space="preserve"> a prostředky dlouhodobého finančního výhledu</w:t>
      </w:r>
      <w:r>
        <w:t xml:space="preserve">. Při životnosti nemovitostí řádově desítky let by </w:t>
      </w:r>
      <w:r w:rsidR="001A2C89">
        <w:t>objem prostředků na</w:t>
      </w:r>
      <w:r>
        <w:t xml:space="preserve"> reprodukc</w:t>
      </w:r>
      <w:r w:rsidR="001A2C89">
        <w:t>i</w:t>
      </w:r>
      <w:r>
        <w:t xml:space="preserve"> majetku města měl ročně </w:t>
      </w:r>
      <w:r w:rsidR="001A2C89">
        <w:t>činit</w:t>
      </w:r>
      <w:r>
        <w:t xml:space="preserve"> řádově v procent</w:t>
      </w:r>
      <w:r w:rsidR="001A2C89">
        <w:t>a</w:t>
      </w:r>
      <w:r>
        <w:t xml:space="preserve"> hodnoty</w:t>
      </w:r>
      <w:r w:rsidR="001A2C89">
        <w:t xml:space="preserve"> majetku</w:t>
      </w:r>
      <w:r>
        <w:t>.</w:t>
      </w:r>
      <w:r w:rsidR="001A2C89">
        <w:t xml:space="preserve"> V roce 2016 činily kapitálové výdaje </w:t>
      </w:r>
      <w:r w:rsidR="001A2C89" w:rsidRPr="001A2C89">
        <w:t>116.130 tis. K</w:t>
      </w:r>
      <w:r w:rsidR="001A2C89">
        <w:t>č.</w:t>
      </w:r>
    </w:p>
    <w:p w:rsidR="00A1379B" w:rsidRDefault="00C27356" w:rsidP="00C27356">
      <w:r>
        <w:t xml:space="preserve">Celkový majetek města se pohybuje kolem </w:t>
      </w:r>
      <w:r w:rsidR="00352764">
        <w:t>2,4</w:t>
      </w:r>
      <w:r>
        <w:t xml:space="preserve"> mld. Kč</w:t>
      </w:r>
      <w:r w:rsidR="00352764">
        <w:t>, přičemž účetní cena staveb přesahuje 1,8 mld. Kč.</w:t>
      </w:r>
      <w:r>
        <w:t xml:space="preserve"> Mimo nemovitosti města </w:t>
      </w:r>
      <w:r w:rsidR="00471677">
        <w:t>se potřeba reprodukce majetku týká také</w:t>
      </w:r>
      <w:r>
        <w:t xml:space="preserve"> vešker</w:t>
      </w:r>
      <w:r w:rsidR="00471677">
        <w:t>é</w:t>
      </w:r>
      <w:r>
        <w:t xml:space="preserve"> infrastruktur</w:t>
      </w:r>
      <w:r w:rsidR="00471677">
        <w:t>y a</w:t>
      </w:r>
      <w:r>
        <w:t xml:space="preserve"> veřejn</w:t>
      </w:r>
      <w:r w:rsidR="00471677">
        <w:t>ých</w:t>
      </w:r>
      <w:r>
        <w:t xml:space="preserve"> prostranství</w:t>
      </w:r>
      <w:r w:rsidR="00471677">
        <w:t>.</w:t>
      </w:r>
    </w:p>
    <w:p w:rsidR="00C27356" w:rsidRDefault="00C27356" w:rsidP="00C27356"/>
    <w:p w:rsidR="005E3C59" w:rsidRDefault="005E3C59">
      <w:pPr>
        <w:spacing w:before="0" w:after="0" w:line="240" w:lineRule="auto"/>
        <w:jc w:val="left"/>
        <w:rPr>
          <w:sz w:val="24"/>
          <w:szCs w:val="24"/>
        </w:rPr>
      </w:pPr>
      <w:r>
        <w:rPr>
          <w:szCs w:val="24"/>
        </w:rPr>
        <w:br w:type="page"/>
      </w:r>
    </w:p>
    <w:p w:rsidR="009E47EB" w:rsidRDefault="009E47EB" w:rsidP="009E47EB">
      <w:pPr>
        <w:pStyle w:val="Nadpis4"/>
        <w:pBdr>
          <w:top w:val="none" w:sz="0" w:space="0" w:color="auto"/>
          <w:left w:val="none" w:sz="0" w:space="0" w:color="auto"/>
        </w:pBdr>
        <w:shd w:val="clear" w:color="auto" w:fill="372C74"/>
        <w:spacing w:before="0" w:after="200"/>
        <w:ind w:firstLine="0"/>
        <w:rPr>
          <w:color w:val="auto"/>
          <w:spacing w:val="4"/>
          <w:szCs w:val="24"/>
        </w:rPr>
      </w:pPr>
      <w:bookmarkStart w:id="131" w:name="_Toc516058335"/>
      <w:r w:rsidRPr="00FB73DB">
        <w:rPr>
          <w:color w:val="auto"/>
          <w:spacing w:val="4"/>
          <w:szCs w:val="24"/>
        </w:rPr>
        <w:lastRenderedPageBreak/>
        <w:t>III. Bezpečnost</w:t>
      </w:r>
      <w:bookmarkEnd w:id="131"/>
      <w:r w:rsidRPr="00FB73DB">
        <w:rPr>
          <w:color w:val="auto"/>
          <w:spacing w:val="4"/>
          <w:szCs w:val="24"/>
        </w:rPr>
        <w:t xml:space="preserve"> </w:t>
      </w:r>
    </w:p>
    <w:p w:rsidR="00C27356" w:rsidRDefault="00C27356" w:rsidP="00C27356">
      <w:r>
        <w:t xml:space="preserve">V oblasti bezpečnosti má město Ostrov zpracovaný koncepční materiál </w:t>
      </w:r>
      <w:r w:rsidR="00D67065">
        <w:t>Plán</w:t>
      </w:r>
      <w:r>
        <w:t xml:space="preserve"> prevence kriminality města</w:t>
      </w:r>
      <w:r w:rsidR="00D67065">
        <w:t>, doplňovaný průběžně o Bezpečnostní analýzu</w:t>
      </w:r>
      <w:r>
        <w:t>.</w:t>
      </w:r>
    </w:p>
    <w:p w:rsidR="00EC315A" w:rsidRDefault="00C27356" w:rsidP="00C27356">
      <w:r>
        <w:t>Obecně lze konstatovat, že město patř</w:t>
      </w:r>
      <w:r w:rsidR="00D67065">
        <w:t>ilo v rámci Karlovarského kraje</w:t>
      </w:r>
      <w:r>
        <w:t xml:space="preserve"> mezi kriminálně více zatížené oblasti</w:t>
      </w:r>
      <w:r w:rsidR="00D67065">
        <w:t>, ale</w:t>
      </w:r>
      <w:r>
        <w:t xml:space="preserve"> bezpečnostní situace </w:t>
      </w:r>
      <w:r w:rsidR="00D67065">
        <w:t>se postupně přiblížila běžnému stavu v kraji</w:t>
      </w:r>
      <w:r>
        <w:t>. Pozitivně se na posilování bezpečnosti odráží zvýšená aktivita městské policie, dlouhodobě je kladen důraz zejména na zvýšení podílu obchůzkové pěší služby v přímém výkonu a vyšší preventivní činnost policistů, s náležitým vybavením při snížení administrativní zátěže.</w:t>
      </w:r>
    </w:p>
    <w:p w:rsidR="005E3C59" w:rsidRDefault="005E3C59" w:rsidP="005E3C59">
      <w:pPr>
        <w:pStyle w:val="Nadpis6"/>
      </w:pPr>
      <w:r w:rsidRPr="00213E10">
        <w:t>Bezpe</w:t>
      </w:r>
      <w:r w:rsidRPr="00213E10">
        <w:rPr>
          <w:rFonts w:hint="eastAsia"/>
        </w:rPr>
        <w:t>č</w:t>
      </w:r>
      <w:r w:rsidRPr="00213E10">
        <w:t xml:space="preserve">nostní analýza – </w:t>
      </w:r>
      <w:r>
        <w:t>Městská p</w:t>
      </w:r>
      <w:r w:rsidRPr="00213E10">
        <w:t xml:space="preserve">olicie </w:t>
      </w:r>
      <w:r>
        <w:t>Ostrov</w:t>
      </w:r>
    </w:p>
    <w:p w:rsidR="005E3C59" w:rsidRDefault="005E3C59" w:rsidP="005E3C59">
      <w:pPr>
        <w:spacing w:before="240"/>
        <w:contextualSpacing/>
      </w:pPr>
      <w:r>
        <w:t>Za hlavní problémy kriminality ve městě lze označit tyto okruhy trestné a přestupkové činnosti.</w:t>
      </w:r>
    </w:p>
    <w:p w:rsidR="005E3C59" w:rsidRDefault="005E3C59" w:rsidP="005E3C59">
      <w:pPr>
        <w:spacing w:before="0"/>
        <w:ind w:left="708"/>
        <w:contextualSpacing/>
      </w:pPr>
      <w:r>
        <w:t>· Krádeže</w:t>
      </w:r>
    </w:p>
    <w:p w:rsidR="005E3C59" w:rsidRDefault="005E3C59" w:rsidP="005E3C59">
      <w:pPr>
        <w:spacing w:before="0"/>
        <w:ind w:left="708"/>
        <w:contextualSpacing/>
      </w:pPr>
      <w:r>
        <w:t>· Výtržnictví</w:t>
      </w:r>
    </w:p>
    <w:p w:rsidR="005E3C59" w:rsidRDefault="005E3C59" w:rsidP="005E3C59">
      <w:pPr>
        <w:spacing w:before="0"/>
        <w:ind w:left="708"/>
        <w:contextualSpacing/>
      </w:pPr>
      <w:r>
        <w:t>· Ohrožení pod vlivem návykových látek</w:t>
      </w:r>
    </w:p>
    <w:p w:rsidR="005E3C59" w:rsidRDefault="005E3C59" w:rsidP="005E3C59">
      <w:pPr>
        <w:spacing w:before="0"/>
        <w:ind w:left="709"/>
      </w:pPr>
      <w:r>
        <w:t>· Vandalismus</w:t>
      </w:r>
    </w:p>
    <w:p w:rsidR="005E3C59" w:rsidRDefault="005E3C59" w:rsidP="005E3C59">
      <w:r>
        <w:t xml:space="preserve">Městská policie mimo přestupků proti majetku, veřejnému pořádku, občanskému soužití a na úseku ochrany před alkoholismem a ostatními toxikomaniemi, řeší zejména problematiku dopravy ve městě. Zde se jedná v největší míře o špatně parkující vozidla. </w:t>
      </w:r>
    </w:p>
    <w:p w:rsidR="005E3C59" w:rsidRDefault="005E3C59" w:rsidP="005E3C59">
      <w:r>
        <w:t>V roce 2014 byla založena skupina prevence kriminality, která zajišťuje spolupráci všech zainteresovaných subjektů s cílem využít všechny subjekty na komplexní řešení prevence kriminality. Smyslem tohoto řešení zůstává přesné rozdělení úkolů a jejich definice pro dané subjekty tak, aby byla zaručená systematická činnost a také spolupráce zainteresovaných subjektů. Hlavní prioritou prevence kriminality je zvýšení pocitu bezpečí obyvatel města a s tím související pokles trestné a přestupkové činnosti</w:t>
      </w:r>
    </w:p>
    <w:p w:rsidR="005E3C59" w:rsidRDefault="005E3C59" w:rsidP="005E3C59">
      <w:r>
        <w:t xml:space="preserve">V městě v rámci požární bezpečnosti působí stanice HZS KK a také Jednotka sboru dobrovolných hasičů, jako organizační složka města. Pro její funkčnost a akceschopnost je třeba průběžně zlepšovat úroveň materiálně technického zabezpečení. </w:t>
      </w:r>
    </w:p>
    <w:p w:rsidR="005E3C59" w:rsidRDefault="005E3C59" w:rsidP="005E3C59">
      <w:r>
        <w:t>Oblast krizového řízení města a jeho zabezpečení je řešena samostatným strategickým dokumentem Krizový plán ORP Ostrov.</w:t>
      </w:r>
    </w:p>
    <w:p w:rsidR="00D67065" w:rsidRDefault="00D67065">
      <w:pPr>
        <w:spacing w:before="0" w:after="0" w:line="240" w:lineRule="auto"/>
        <w:jc w:val="left"/>
        <w:rPr>
          <w:color w:val="282156"/>
          <w:spacing w:val="10"/>
          <w:szCs w:val="22"/>
        </w:rPr>
      </w:pPr>
      <w:r>
        <w:br w:type="page"/>
      </w:r>
    </w:p>
    <w:p w:rsidR="005E3C59" w:rsidRPr="00213E10" w:rsidRDefault="005E3C59" w:rsidP="005E3C59">
      <w:pPr>
        <w:pStyle w:val="Nadpis6"/>
      </w:pPr>
      <w:r w:rsidRPr="00213E10">
        <w:lastRenderedPageBreak/>
        <w:t xml:space="preserve">Vybrané statistické údaje v oblasti </w:t>
      </w:r>
      <w:r>
        <w:t>přestupkové činnosti</w:t>
      </w:r>
    </w:p>
    <w:p w:rsidR="005E3C59" w:rsidRDefault="005E3C59" w:rsidP="005E3C59">
      <w:pPr>
        <w:spacing w:before="0" w:after="120"/>
        <w:rPr>
          <w:rFonts w:asciiTheme="minorHAnsi" w:hAnsiTheme="minorHAnsi" w:cs="Arial-ItalicMT"/>
          <w:b/>
          <w:bCs/>
          <w:iCs/>
          <w:color w:val="372C74"/>
          <w:spacing w:val="10"/>
          <w:sz w:val="18"/>
          <w:szCs w:val="22"/>
        </w:rPr>
      </w:pPr>
    </w:p>
    <w:p w:rsidR="005E3C59" w:rsidRPr="009D5F06" w:rsidRDefault="005E3C59" w:rsidP="005E3C59">
      <w:pPr>
        <w:spacing w:before="0" w:after="120"/>
        <w:rPr>
          <w:rFonts w:asciiTheme="minorHAnsi" w:hAnsiTheme="minorHAnsi" w:cs="Arial-ItalicMT"/>
          <w:iCs/>
          <w:sz w:val="18"/>
          <w:szCs w:val="18"/>
        </w:rPr>
      </w:pPr>
      <w:bookmarkStart w:id="132" w:name="_Toc516059039"/>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30</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C63800">
        <w:rPr>
          <w:rFonts w:asciiTheme="minorHAnsi" w:hAnsiTheme="minorHAnsi" w:cs="Arial-ItalicMT"/>
          <w:iCs/>
          <w:sz w:val="18"/>
          <w:szCs w:val="18"/>
        </w:rPr>
        <w:t xml:space="preserve">Počty evidovaných přestupků </w:t>
      </w:r>
      <w:r>
        <w:rPr>
          <w:rFonts w:asciiTheme="minorHAnsi" w:hAnsiTheme="minorHAnsi" w:cs="Arial-ItalicMT"/>
          <w:iCs/>
          <w:sz w:val="18"/>
          <w:szCs w:val="18"/>
        </w:rPr>
        <w:t xml:space="preserve">MP </w:t>
      </w:r>
      <w:r w:rsidRPr="00C63800">
        <w:rPr>
          <w:rFonts w:asciiTheme="minorHAnsi" w:hAnsiTheme="minorHAnsi" w:cs="Arial-ItalicMT"/>
          <w:iCs/>
          <w:sz w:val="18"/>
          <w:szCs w:val="18"/>
        </w:rPr>
        <w:t>v období 1.1.</w:t>
      </w:r>
      <w:r>
        <w:rPr>
          <w:rFonts w:asciiTheme="minorHAnsi" w:hAnsiTheme="minorHAnsi" w:cs="Arial-ItalicMT"/>
          <w:iCs/>
          <w:sz w:val="18"/>
          <w:szCs w:val="18"/>
        </w:rPr>
        <w:t xml:space="preserve"> </w:t>
      </w:r>
      <w:r w:rsidRPr="00C63800">
        <w:rPr>
          <w:rFonts w:asciiTheme="minorHAnsi" w:hAnsiTheme="minorHAnsi" w:cs="Arial-ItalicMT"/>
          <w:iCs/>
          <w:sz w:val="18"/>
          <w:szCs w:val="18"/>
        </w:rPr>
        <w:t>-</w:t>
      </w:r>
      <w:r>
        <w:rPr>
          <w:rFonts w:asciiTheme="minorHAnsi" w:hAnsiTheme="minorHAnsi" w:cs="Arial-ItalicMT"/>
          <w:iCs/>
          <w:sz w:val="18"/>
          <w:szCs w:val="18"/>
        </w:rPr>
        <w:t xml:space="preserve"> </w:t>
      </w:r>
      <w:r w:rsidRPr="00C63800">
        <w:rPr>
          <w:rFonts w:asciiTheme="minorHAnsi" w:hAnsiTheme="minorHAnsi" w:cs="Arial-ItalicMT"/>
          <w:iCs/>
          <w:sz w:val="18"/>
          <w:szCs w:val="18"/>
        </w:rPr>
        <w:t xml:space="preserve">31.12. v k.ú. města </w:t>
      </w:r>
      <w:r>
        <w:rPr>
          <w:rFonts w:asciiTheme="minorHAnsi" w:hAnsiTheme="minorHAnsi" w:cs="Arial-ItalicMT"/>
          <w:iCs/>
          <w:sz w:val="18"/>
          <w:szCs w:val="18"/>
        </w:rPr>
        <w:t>Ostrov</w:t>
      </w:r>
      <w:bookmarkEnd w:id="132"/>
    </w:p>
    <w:tbl>
      <w:tblPr>
        <w:tblStyle w:val="Mkatabulky"/>
        <w:tblW w:w="0" w:type="auto"/>
        <w:jc w:val="center"/>
        <w:tblLook w:val="04A0" w:firstRow="1" w:lastRow="0" w:firstColumn="1" w:lastColumn="0" w:noHBand="0" w:noVBand="1"/>
      </w:tblPr>
      <w:tblGrid>
        <w:gridCol w:w="4456"/>
        <w:gridCol w:w="1120"/>
        <w:gridCol w:w="964"/>
        <w:gridCol w:w="964"/>
        <w:gridCol w:w="964"/>
        <w:gridCol w:w="965"/>
      </w:tblGrid>
      <w:tr w:rsidR="005E3C59" w:rsidRPr="002A6B49" w:rsidTr="005E3C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56" w:type="dxa"/>
          </w:tcPr>
          <w:p w:rsidR="005E3C59" w:rsidRPr="002A6B49" w:rsidRDefault="005E3C59" w:rsidP="005E3C59">
            <w:pPr>
              <w:spacing w:before="0" w:after="0"/>
              <w:jc w:val="center"/>
              <w:rPr>
                <w:rFonts w:asciiTheme="majorHAnsi" w:hAnsiTheme="majorHAnsi"/>
                <w:b/>
                <w:sz w:val="16"/>
                <w:szCs w:val="16"/>
              </w:rPr>
            </w:pPr>
            <w:r>
              <w:rPr>
                <w:rFonts w:asciiTheme="majorHAnsi" w:hAnsiTheme="majorHAnsi"/>
                <w:b/>
                <w:sz w:val="16"/>
                <w:szCs w:val="16"/>
              </w:rPr>
              <w:t xml:space="preserve">evidované přestupky </w:t>
            </w:r>
          </w:p>
        </w:tc>
        <w:tc>
          <w:tcPr>
            <w:tcW w:w="1120" w:type="dxa"/>
          </w:tcPr>
          <w:p w:rsidR="005E3C59" w:rsidRPr="002A6B4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200/199 Sb.</w:t>
            </w:r>
          </w:p>
        </w:tc>
        <w:tc>
          <w:tcPr>
            <w:tcW w:w="964" w:type="dxa"/>
          </w:tcPr>
          <w:p w:rsidR="005E3C59" w:rsidRPr="002A6B4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2014</w:t>
            </w:r>
          </w:p>
        </w:tc>
        <w:tc>
          <w:tcPr>
            <w:tcW w:w="964" w:type="dxa"/>
          </w:tcPr>
          <w:p w:rsidR="005E3C59" w:rsidRPr="002A6B4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2015</w:t>
            </w:r>
          </w:p>
        </w:tc>
        <w:tc>
          <w:tcPr>
            <w:tcW w:w="964" w:type="dxa"/>
          </w:tcPr>
          <w:p w:rsidR="005E3C5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2016</w:t>
            </w:r>
          </w:p>
        </w:tc>
        <w:tc>
          <w:tcPr>
            <w:tcW w:w="965" w:type="dxa"/>
          </w:tcPr>
          <w:p w:rsidR="005E3C5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2017</w:t>
            </w:r>
          </w:p>
        </w:tc>
      </w:tr>
      <w:tr w:rsidR="005E3C59" w:rsidRPr="00DF5BC2" w:rsidTr="005E3C59">
        <w:trPr>
          <w:jc w:val="center"/>
        </w:trPr>
        <w:tc>
          <w:tcPr>
            <w:cnfStyle w:val="001000000000" w:firstRow="0" w:lastRow="0" w:firstColumn="1" w:lastColumn="0" w:oddVBand="0" w:evenVBand="0" w:oddHBand="0" w:evenHBand="0" w:firstRowFirstColumn="0" w:firstRowLastColumn="0" w:lastRowFirstColumn="0" w:lastRowLastColumn="0"/>
            <w:tcW w:w="4456" w:type="dxa"/>
            <w:vAlign w:val="bottom"/>
          </w:tcPr>
          <w:p w:rsidR="005E3C59" w:rsidRPr="00DF5BC2" w:rsidRDefault="005E3C59" w:rsidP="005E3C59">
            <w:pPr>
              <w:spacing w:before="0" w:after="0" w:line="240" w:lineRule="auto"/>
              <w:rPr>
                <w:rFonts w:asciiTheme="minorHAnsi" w:hAnsiTheme="minorHAnsi"/>
                <w:color w:val="000000"/>
                <w:sz w:val="16"/>
                <w:szCs w:val="16"/>
              </w:rPr>
            </w:pPr>
            <w:r>
              <w:rPr>
                <w:rFonts w:asciiTheme="minorHAnsi" w:hAnsiTheme="minorHAnsi"/>
                <w:color w:val="000000"/>
                <w:sz w:val="16"/>
                <w:szCs w:val="16"/>
              </w:rPr>
              <w:t>proti veřejnému pořádku</w:t>
            </w:r>
          </w:p>
        </w:tc>
        <w:tc>
          <w:tcPr>
            <w:tcW w:w="1120"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§47</w:t>
            </w:r>
          </w:p>
        </w:tc>
        <w:tc>
          <w:tcPr>
            <w:tcW w:w="964"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605</w:t>
            </w:r>
          </w:p>
        </w:tc>
        <w:tc>
          <w:tcPr>
            <w:tcW w:w="964"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629</w:t>
            </w:r>
          </w:p>
        </w:tc>
        <w:tc>
          <w:tcPr>
            <w:tcW w:w="964"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363</w:t>
            </w:r>
          </w:p>
        </w:tc>
        <w:tc>
          <w:tcPr>
            <w:tcW w:w="965"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118</w:t>
            </w:r>
          </w:p>
        </w:tc>
      </w:tr>
      <w:tr w:rsidR="005E3C59" w:rsidRPr="00DF5BC2" w:rsidTr="005E3C59">
        <w:trPr>
          <w:jc w:val="center"/>
        </w:trPr>
        <w:tc>
          <w:tcPr>
            <w:cnfStyle w:val="001000000000" w:firstRow="0" w:lastRow="0" w:firstColumn="1" w:lastColumn="0" w:oddVBand="0" w:evenVBand="0" w:oddHBand="0" w:evenHBand="0" w:firstRowFirstColumn="0" w:firstRowLastColumn="0" w:lastRowFirstColumn="0" w:lastRowLastColumn="0"/>
            <w:tcW w:w="4456" w:type="dxa"/>
            <w:vAlign w:val="bottom"/>
          </w:tcPr>
          <w:p w:rsidR="005E3C59" w:rsidRPr="00DF5BC2" w:rsidRDefault="005E3C59" w:rsidP="005E3C59">
            <w:pPr>
              <w:spacing w:before="0" w:after="0" w:line="240" w:lineRule="auto"/>
              <w:rPr>
                <w:rFonts w:asciiTheme="minorHAnsi" w:hAnsiTheme="minorHAnsi"/>
                <w:color w:val="000000"/>
                <w:sz w:val="16"/>
                <w:szCs w:val="16"/>
              </w:rPr>
            </w:pPr>
            <w:r>
              <w:rPr>
                <w:rFonts w:asciiTheme="minorHAnsi" w:hAnsiTheme="minorHAnsi"/>
                <w:color w:val="000000"/>
                <w:sz w:val="16"/>
                <w:szCs w:val="16"/>
              </w:rPr>
              <w:t>proti občanskému soužití</w:t>
            </w:r>
          </w:p>
        </w:tc>
        <w:tc>
          <w:tcPr>
            <w:tcW w:w="1120"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§49</w:t>
            </w:r>
          </w:p>
        </w:tc>
        <w:tc>
          <w:tcPr>
            <w:tcW w:w="964"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7</w:t>
            </w:r>
          </w:p>
        </w:tc>
        <w:tc>
          <w:tcPr>
            <w:tcW w:w="964"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12</w:t>
            </w:r>
          </w:p>
        </w:tc>
        <w:tc>
          <w:tcPr>
            <w:tcW w:w="964"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12</w:t>
            </w:r>
          </w:p>
        </w:tc>
        <w:tc>
          <w:tcPr>
            <w:tcW w:w="965"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7</w:t>
            </w:r>
          </w:p>
        </w:tc>
      </w:tr>
      <w:tr w:rsidR="005E3C59" w:rsidRPr="00DF5BC2" w:rsidTr="005E3C59">
        <w:trPr>
          <w:jc w:val="center"/>
        </w:trPr>
        <w:tc>
          <w:tcPr>
            <w:cnfStyle w:val="001000000000" w:firstRow="0" w:lastRow="0" w:firstColumn="1" w:lastColumn="0" w:oddVBand="0" w:evenVBand="0" w:oddHBand="0" w:evenHBand="0" w:firstRowFirstColumn="0" w:firstRowLastColumn="0" w:lastRowFirstColumn="0" w:lastRowLastColumn="0"/>
            <w:tcW w:w="4456" w:type="dxa"/>
            <w:vAlign w:val="bottom"/>
          </w:tcPr>
          <w:p w:rsidR="005E3C59" w:rsidRPr="00DF5BC2" w:rsidRDefault="005E3C59" w:rsidP="005E3C59">
            <w:pPr>
              <w:spacing w:before="0" w:after="0" w:line="240" w:lineRule="auto"/>
              <w:rPr>
                <w:rFonts w:asciiTheme="minorHAnsi" w:hAnsiTheme="minorHAnsi"/>
                <w:color w:val="000000"/>
                <w:sz w:val="16"/>
                <w:szCs w:val="16"/>
              </w:rPr>
            </w:pPr>
            <w:r>
              <w:rPr>
                <w:rFonts w:asciiTheme="minorHAnsi" w:hAnsiTheme="minorHAnsi"/>
                <w:color w:val="000000"/>
                <w:sz w:val="16"/>
                <w:szCs w:val="16"/>
              </w:rPr>
              <w:t>proti majetku</w:t>
            </w:r>
          </w:p>
        </w:tc>
        <w:tc>
          <w:tcPr>
            <w:tcW w:w="1120" w:type="dxa"/>
            <w:vAlign w:val="bottom"/>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§50</w:t>
            </w:r>
          </w:p>
        </w:tc>
        <w:tc>
          <w:tcPr>
            <w:tcW w:w="964" w:type="dxa"/>
            <w:vAlign w:val="bottom"/>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245</w:t>
            </w:r>
          </w:p>
        </w:tc>
        <w:tc>
          <w:tcPr>
            <w:tcW w:w="964" w:type="dxa"/>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192</w:t>
            </w:r>
          </w:p>
        </w:tc>
        <w:tc>
          <w:tcPr>
            <w:tcW w:w="964" w:type="dxa"/>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109</w:t>
            </w:r>
          </w:p>
        </w:tc>
        <w:tc>
          <w:tcPr>
            <w:tcW w:w="965" w:type="dxa"/>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93</w:t>
            </w:r>
          </w:p>
        </w:tc>
      </w:tr>
      <w:tr w:rsidR="005E3C59" w:rsidRPr="00DF5BC2" w:rsidTr="005E3C59">
        <w:trPr>
          <w:jc w:val="center"/>
        </w:trPr>
        <w:tc>
          <w:tcPr>
            <w:cnfStyle w:val="001000000000" w:firstRow="0" w:lastRow="0" w:firstColumn="1" w:lastColumn="0" w:oddVBand="0" w:evenVBand="0" w:oddHBand="0" w:evenHBand="0" w:firstRowFirstColumn="0" w:firstRowLastColumn="0" w:lastRowFirstColumn="0" w:lastRowLastColumn="0"/>
            <w:tcW w:w="4456" w:type="dxa"/>
            <w:vAlign w:val="bottom"/>
          </w:tcPr>
          <w:p w:rsidR="005E3C59" w:rsidRPr="00DF5BC2" w:rsidRDefault="005E3C59" w:rsidP="005E3C59">
            <w:pPr>
              <w:spacing w:before="0" w:after="0" w:line="240" w:lineRule="auto"/>
              <w:rPr>
                <w:rFonts w:asciiTheme="minorHAnsi" w:hAnsiTheme="minorHAnsi"/>
                <w:color w:val="000000"/>
                <w:sz w:val="16"/>
                <w:szCs w:val="16"/>
              </w:rPr>
            </w:pPr>
            <w:r>
              <w:rPr>
                <w:rFonts w:asciiTheme="minorHAnsi" w:hAnsiTheme="minorHAnsi"/>
                <w:color w:val="000000"/>
                <w:sz w:val="16"/>
                <w:szCs w:val="16"/>
              </w:rPr>
              <w:t>na úseku ochrany před alkoholismem a jinými toxikomaniemi</w:t>
            </w:r>
          </w:p>
        </w:tc>
        <w:tc>
          <w:tcPr>
            <w:tcW w:w="1120"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§30</w:t>
            </w:r>
          </w:p>
        </w:tc>
        <w:tc>
          <w:tcPr>
            <w:tcW w:w="964"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10</w:t>
            </w:r>
          </w:p>
        </w:tc>
        <w:tc>
          <w:tcPr>
            <w:tcW w:w="964"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6</w:t>
            </w:r>
          </w:p>
        </w:tc>
        <w:tc>
          <w:tcPr>
            <w:tcW w:w="964"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8</w:t>
            </w:r>
          </w:p>
        </w:tc>
        <w:tc>
          <w:tcPr>
            <w:tcW w:w="965"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9</w:t>
            </w:r>
          </w:p>
        </w:tc>
      </w:tr>
    </w:tbl>
    <w:p w:rsidR="005E3C59" w:rsidRDefault="005E3C59" w:rsidP="005E3C59">
      <w:pPr>
        <w:spacing w:before="0" w:after="0" w:line="240" w:lineRule="auto"/>
        <w:rPr>
          <w:sz w:val="18"/>
          <w:szCs w:val="18"/>
        </w:rPr>
      </w:pPr>
      <w:r w:rsidRPr="00472EFC">
        <w:rPr>
          <w:sz w:val="18"/>
          <w:szCs w:val="18"/>
        </w:rPr>
        <w:t xml:space="preserve">Zdroj: </w:t>
      </w:r>
      <w:r>
        <w:rPr>
          <w:sz w:val="18"/>
          <w:szCs w:val="18"/>
        </w:rPr>
        <w:t>MP Ostrov, MěÚ Ostrov</w:t>
      </w:r>
    </w:p>
    <w:p w:rsidR="005E3C59" w:rsidRDefault="005E3C59" w:rsidP="005E3C59">
      <w:pPr>
        <w:spacing w:before="0" w:after="0" w:line="240" w:lineRule="auto"/>
        <w:jc w:val="left"/>
        <w:rPr>
          <w:sz w:val="24"/>
          <w:szCs w:val="24"/>
        </w:rPr>
      </w:pPr>
    </w:p>
    <w:p w:rsidR="005E3C59" w:rsidRPr="009D5F06" w:rsidRDefault="005E3C59" w:rsidP="005E3C59">
      <w:pPr>
        <w:spacing w:before="0" w:after="120"/>
        <w:rPr>
          <w:rFonts w:asciiTheme="minorHAnsi" w:hAnsiTheme="minorHAnsi" w:cs="Arial-ItalicMT"/>
          <w:iCs/>
          <w:sz w:val="18"/>
          <w:szCs w:val="18"/>
        </w:rPr>
      </w:pPr>
      <w:bookmarkStart w:id="133" w:name="_Toc516059040"/>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31</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C63800">
        <w:rPr>
          <w:rFonts w:asciiTheme="minorHAnsi" w:hAnsiTheme="minorHAnsi" w:cs="Arial-ItalicMT"/>
          <w:iCs/>
          <w:sz w:val="18"/>
          <w:szCs w:val="18"/>
        </w:rPr>
        <w:t xml:space="preserve">Počty evidovaných přestupků </w:t>
      </w:r>
      <w:r>
        <w:rPr>
          <w:rFonts w:asciiTheme="minorHAnsi" w:hAnsiTheme="minorHAnsi" w:cs="Arial-ItalicMT"/>
          <w:iCs/>
          <w:sz w:val="18"/>
          <w:szCs w:val="18"/>
        </w:rPr>
        <w:t xml:space="preserve">PČR </w:t>
      </w:r>
      <w:r w:rsidRPr="00C63800">
        <w:rPr>
          <w:rFonts w:asciiTheme="minorHAnsi" w:hAnsiTheme="minorHAnsi" w:cs="Arial-ItalicMT"/>
          <w:iCs/>
          <w:sz w:val="18"/>
          <w:szCs w:val="18"/>
        </w:rPr>
        <w:t>v období 1.1.</w:t>
      </w:r>
      <w:r>
        <w:rPr>
          <w:rFonts w:asciiTheme="minorHAnsi" w:hAnsiTheme="minorHAnsi" w:cs="Arial-ItalicMT"/>
          <w:iCs/>
          <w:sz w:val="18"/>
          <w:szCs w:val="18"/>
        </w:rPr>
        <w:t xml:space="preserve"> </w:t>
      </w:r>
      <w:r w:rsidRPr="00C63800">
        <w:rPr>
          <w:rFonts w:asciiTheme="minorHAnsi" w:hAnsiTheme="minorHAnsi" w:cs="Arial-ItalicMT"/>
          <w:iCs/>
          <w:sz w:val="18"/>
          <w:szCs w:val="18"/>
        </w:rPr>
        <w:t>-</w:t>
      </w:r>
      <w:r>
        <w:rPr>
          <w:rFonts w:asciiTheme="minorHAnsi" w:hAnsiTheme="minorHAnsi" w:cs="Arial-ItalicMT"/>
          <w:iCs/>
          <w:sz w:val="18"/>
          <w:szCs w:val="18"/>
        </w:rPr>
        <w:t xml:space="preserve"> </w:t>
      </w:r>
      <w:r w:rsidRPr="00C63800">
        <w:rPr>
          <w:rFonts w:asciiTheme="minorHAnsi" w:hAnsiTheme="minorHAnsi" w:cs="Arial-ItalicMT"/>
          <w:iCs/>
          <w:sz w:val="18"/>
          <w:szCs w:val="18"/>
        </w:rPr>
        <w:t xml:space="preserve">31.12. v k.ú. města </w:t>
      </w:r>
      <w:r>
        <w:rPr>
          <w:rFonts w:asciiTheme="minorHAnsi" w:hAnsiTheme="minorHAnsi" w:cs="Arial-ItalicMT"/>
          <w:iCs/>
          <w:sz w:val="18"/>
          <w:szCs w:val="18"/>
        </w:rPr>
        <w:t>Ostrov</w:t>
      </w:r>
      <w:bookmarkEnd w:id="133"/>
    </w:p>
    <w:tbl>
      <w:tblPr>
        <w:tblStyle w:val="Mkatabulky"/>
        <w:tblW w:w="0" w:type="auto"/>
        <w:jc w:val="center"/>
        <w:tblLook w:val="04A0" w:firstRow="1" w:lastRow="0" w:firstColumn="1" w:lastColumn="0" w:noHBand="0" w:noVBand="1"/>
      </w:tblPr>
      <w:tblGrid>
        <w:gridCol w:w="4456"/>
        <w:gridCol w:w="1120"/>
        <w:gridCol w:w="964"/>
        <w:gridCol w:w="964"/>
        <w:gridCol w:w="964"/>
        <w:gridCol w:w="965"/>
      </w:tblGrid>
      <w:tr w:rsidR="005E3C59" w:rsidRPr="002A6B49" w:rsidTr="005E3C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56" w:type="dxa"/>
          </w:tcPr>
          <w:p w:rsidR="005E3C59" w:rsidRPr="002A6B49" w:rsidRDefault="005E3C59" w:rsidP="005E3C59">
            <w:pPr>
              <w:spacing w:before="0" w:after="0"/>
              <w:jc w:val="center"/>
              <w:rPr>
                <w:rFonts w:asciiTheme="majorHAnsi" w:hAnsiTheme="majorHAnsi"/>
                <w:b/>
                <w:sz w:val="16"/>
                <w:szCs w:val="16"/>
              </w:rPr>
            </w:pPr>
            <w:r>
              <w:rPr>
                <w:rFonts w:asciiTheme="majorHAnsi" w:hAnsiTheme="majorHAnsi"/>
                <w:b/>
                <w:sz w:val="16"/>
                <w:szCs w:val="16"/>
              </w:rPr>
              <w:t xml:space="preserve">evidované přestupky </w:t>
            </w:r>
          </w:p>
        </w:tc>
        <w:tc>
          <w:tcPr>
            <w:tcW w:w="1120" w:type="dxa"/>
          </w:tcPr>
          <w:p w:rsidR="005E3C59" w:rsidRPr="002A6B4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200/199 Sb.</w:t>
            </w:r>
          </w:p>
        </w:tc>
        <w:tc>
          <w:tcPr>
            <w:tcW w:w="964" w:type="dxa"/>
          </w:tcPr>
          <w:p w:rsidR="005E3C59" w:rsidRPr="002A6B4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2014</w:t>
            </w:r>
          </w:p>
        </w:tc>
        <w:tc>
          <w:tcPr>
            <w:tcW w:w="964" w:type="dxa"/>
          </w:tcPr>
          <w:p w:rsidR="005E3C59" w:rsidRPr="002A6B4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2015</w:t>
            </w:r>
          </w:p>
        </w:tc>
        <w:tc>
          <w:tcPr>
            <w:tcW w:w="964" w:type="dxa"/>
          </w:tcPr>
          <w:p w:rsidR="005E3C5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2016</w:t>
            </w:r>
          </w:p>
        </w:tc>
        <w:tc>
          <w:tcPr>
            <w:tcW w:w="965" w:type="dxa"/>
          </w:tcPr>
          <w:p w:rsidR="005E3C59" w:rsidRDefault="005E3C59" w:rsidP="005E3C59">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2017</w:t>
            </w:r>
          </w:p>
        </w:tc>
      </w:tr>
      <w:tr w:rsidR="005E3C59" w:rsidRPr="00DF5BC2" w:rsidTr="005E3C59">
        <w:trPr>
          <w:jc w:val="center"/>
        </w:trPr>
        <w:tc>
          <w:tcPr>
            <w:cnfStyle w:val="001000000000" w:firstRow="0" w:lastRow="0" w:firstColumn="1" w:lastColumn="0" w:oddVBand="0" w:evenVBand="0" w:oddHBand="0" w:evenHBand="0" w:firstRowFirstColumn="0" w:firstRowLastColumn="0" w:lastRowFirstColumn="0" w:lastRowLastColumn="0"/>
            <w:tcW w:w="4456" w:type="dxa"/>
            <w:vAlign w:val="bottom"/>
          </w:tcPr>
          <w:p w:rsidR="005E3C59" w:rsidRPr="00DF5BC2" w:rsidRDefault="005E3C59" w:rsidP="005E3C59">
            <w:pPr>
              <w:spacing w:before="0" w:after="0" w:line="240" w:lineRule="auto"/>
              <w:rPr>
                <w:rFonts w:asciiTheme="minorHAnsi" w:hAnsiTheme="minorHAnsi"/>
                <w:color w:val="000000"/>
                <w:sz w:val="16"/>
                <w:szCs w:val="16"/>
              </w:rPr>
            </w:pPr>
            <w:r>
              <w:rPr>
                <w:rFonts w:asciiTheme="minorHAnsi" w:hAnsiTheme="minorHAnsi"/>
                <w:color w:val="000000"/>
                <w:sz w:val="16"/>
                <w:szCs w:val="16"/>
              </w:rPr>
              <w:t>proti veřejnému pořádku</w:t>
            </w:r>
          </w:p>
        </w:tc>
        <w:tc>
          <w:tcPr>
            <w:tcW w:w="1120"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§47</w:t>
            </w:r>
          </w:p>
        </w:tc>
        <w:tc>
          <w:tcPr>
            <w:tcW w:w="964" w:type="dxa"/>
            <w:vMerge w:val="restart"/>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356</w:t>
            </w:r>
          </w:p>
        </w:tc>
        <w:tc>
          <w:tcPr>
            <w:tcW w:w="964" w:type="dxa"/>
            <w:vMerge w:val="restart"/>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377</w:t>
            </w:r>
          </w:p>
        </w:tc>
        <w:tc>
          <w:tcPr>
            <w:tcW w:w="964" w:type="dxa"/>
            <w:vMerge w:val="restart"/>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418</w:t>
            </w:r>
          </w:p>
        </w:tc>
        <w:tc>
          <w:tcPr>
            <w:tcW w:w="965" w:type="dxa"/>
            <w:vMerge w:val="restart"/>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427</w:t>
            </w:r>
          </w:p>
        </w:tc>
      </w:tr>
      <w:tr w:rsidR="005E3C59" w:rsidRPr="00DF5BC2" w:rsidTr="005E3C59">
        <w:trPr>
          <w:jc w:val="center"/>
        </w:trPr>
        <w:tc>
          <w:tcPr>
            <w:cnfStyle w:val="001000000000" w:firstRow="0" w:lastRow="0" w:firstColumn="1" w:lastColumn="0" w:oddVBand="0" w:evenVBand="0" w:oddHBand="0" w:evenHBand="0" w:firstRowFirstColumn="0" w:firstRowLastColumn="0" w:lastRowFirstColumn="0" w:lastRowLastColumn="0"/>
            <w:tcW w:w="4456" w:type="dxa"/>
            <w:vAlign w:val="bottom"/>
          </w:tcPr>
          <w:p w:rsidR="005E3C59" w:rsidRPr="00DF5BC2" w:rsidRDefault="005E3C59" w:rsidP="005E3C59">
            <w:pPr>
              <w:spacing w:before="0" w:after="0" w:line="240" w:lineRule="auto"/>
              <w:rPr>
                <w:rFonts w:asciiTheme="minorHAnsi" w:hAnsiTheme="minorHAnsi"/>
                <w:color w:val="000000"/>
                <w:sz w:val="16"/>
                <w:szCs w:val="16"/>
              </w:rPr>
            </w:pPr>
            <w:r>
              <w:rPr>
                <w:rFonts w:asciiTheme="minorHAnsi" w:hAnsiTheme="minorHAnsi"/>
                <w:color w:val="000000"/>
                <w:sz w:val="16"/>
                <w:szCs w:val="16"/>
              </w:rPr>
              <w:t>proti občanskému soužití</w:t>
            </w:r>
          </w:p>
        </w:tc>
        <w:tc>
          <w:tcPr>
            <w:tcW w:w="1120"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§49</w:t>
            </w:r>
          </w:p>
        </w:tc>
        <w:tc>
          <w:tcPr>
            <w:tcW w:w="964" w:type="dxa"/>
            <w:vMerge/>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964" w:type="dxa"/>
            <w:vMerge/>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964" w:type="dxa"/>
            <w:vMerge/>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c>
          <w:tcPr>
            <w:tcW w:w="965" w:type="dxa"/>
            <w:vMerge/>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p>
        </w:tc>
      </w:tr>
      <w:tr w:rsidR="005E3C59" w:rsidRPr="00DF5BC2" w:rsidTr="005E3C59">
        <w:trPr>
          <w:jc w:val="center"/>
        </w:trPr>
        <w:tc>
          <w:tcPr>
            <w:cnfStyle w:val="001000000000" w:firstRow="0" w:lastRow="0" w:firstColumn="1" w:lastColumn="0" w:oddVBand="0" w:evenVBand="0" w:oddHBand="0" w:evenHBand="0" w:firstRowFirstColumn="0" w:firstRowLastColumn="0" w:lastRowFirstColumn="0" w:lastRowLastColumn="0"/>
            <w:tcW w:w="4456" w:type="dxa"/>
            <w:vAlign w:val="bottom"/>
          </w:tcPr>
          <w:p w:rsidR="005E3C59" w:rsidRPr="00DF5BC2" w:rsidRDefault="005E3C59" w:rsidP="005E3C59">
            <w:pPr>
              <w:spacing w:before="0" w:after="0" w:line="240" w:lineRule="auto"/>
              <w:rPr>
                <w:rFonts w:asciiTheme="minorHAnsi" w:hAnsiTheme="minorHAnsi"/>
                <w:color w:val="000000"/>
                <w:sz w:val="16"/>
                <w:szCs w:val="16"/>
              </w:rPr>
            </w:pPr>
            <w:r>
              <w:rPr>
                <w:rFonts w:asciiTheme="minorHAnsi" w:hAnsiTheme="minorHAnsi"/>
                <w:color w:val="000000"/>
                <w:sz w:val="16"/>
                <w:szCs w:val="16"/>
              </w:rPr>
              <w:t>proti majetku</w:t>
            </w:r>
          </w:p>
        </w:tc>
        <w:tc>
          <w:tcPr>
            <w:tcW w:w="1120" w:type="dxa"/>
            <w:vAlign w:val="bottom"/>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§50</w:t>
            </w:r>
          </w:p>
        </w:tc>
        <w:tc>
          <w:tcPr>
            <w:tcW w:w="964" w:type="dxa"/>
            <w:vAlign w:val="bottom"/>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417</w:t>
            </w:r>
          </w:p>
        </w:tc>
        <w:tc>
          <w:tcPr>
            <w:tcW w:w="964" w:type="dxa"/>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443</w:t>
            </w:r>
          </w:p>
        </w:tc>
        <w:tc>
          <w:tcPr>
            <w:tcW w:w="964" w:type="dxa"/>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261</w:t>
            </w:r>
          </w:p>
        </w:tc>
        <w:tc>
          <w:tcPr>
            <w:tcW w:w="965" w:type="dxa"/>
          </w:tcPr>
          <w:p w:rsidR="005E3C59"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262</w:t>
            </w:r>
          </w:p>
        </w:tc>
      </w:tr>
      <w:tr w:rsidR="005E3C59" w:rsidRPr="00DF5BC2" w:rsidTr="005E3C59">
        <w:trPr>
          <w:jc w:val="center"/>
        </w:trPr>
        <w:tc>
          <w:tcPr>
            <w:cnfStyle w:val="001000000000" w:firstRow="0" w:lastRow="0" w:firstColumn="1" w:lastColumn="0" w:oddVBand="0" w:evenVBand="0" w:oddHBand="0" w:evenHBand="0" w:firstRowFirstColumn="0" w:firstRowLastColumn="0" w:lastRowFirstColumn="0" w:lastRowLastColumn="0"/>
            <w:tcW w:w="4456" w:type="dxa"/>
            <w:vAlign w:val="bottom"/>
          </w:tcPr>
          <w:p w:rsidR="005E3C59" w:rsidRPr="00DF5BC2" w:rsidRDefault="005E3C59" w:rsidP="005E3C59">
            <w:pPr>
              <w:spacing w:before="0" w:after="0" w:line="240" w:lineRule="auto"/>
              <w:rPr>
                <w:rFonts w:asciiTheme="minorHAnsi" w:hAnsiTheme="minorHAnsi"/>
                <w:color w:val="000000"/>
                <w:sz w:val="16"/>
                <w:szCs w:val="16"/>
              </w:rPr>
            </w:pPr>
            <w:r>
              <w:rPr>
                <w:rFonts w:asciiTheme="minorHAnsi" w:hAnsiTheme="minorHAnsi"/>
                <w:color w:val="000000"/>
                <w:sz w:val="16"/>
                <w:szCs w:val="16"/>
              </w:rPr>
              <w:t>na úseku ochrany před alkoholismem a jinými toxikomaniemi</w:t>
            </w:r>
          </w:p>
        </w:tc>
        <w:tc>
          <w:tcPr>
            <w:tcW w:w="1120"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§30</w:t>
            </w:r>
          </w:p>
        </w:tc>
        <w:tc>
          <w:tcPr>
            <w:tcW w:w="964" w:type="dxa"/>
            <w:vAlign w:val="bottom"/>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16</w:t>
            </w:r>
          </w:p>
        </w:tc>
        <w:tc>
          <w:tcPr>
            <w:tcW w:w="964"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35</w:t>
            </w:r>
          </w:p>
        </w:tc>
        <w:tc>
          <w:tcPr>
            <w:tcW w:w="964"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26</w:t>
            </w:r>
          </w:p>
        </w:tc>
        <w:tc>
          <w:tcPr>
            <w:tcW w:w="965" w:type="dxa"/>
          </w:tcPr>
          <w:p w:rsidR="005E3C59" w:rsidRPr="00DF5BC2" w:rsidRDefault="005E3C59" w:rsidP="005E3C5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29</w:t>
            </w:r>
          </w:p>
        </w:tc>
      </w:tr>
    </w:tbl>
    <w:p w:rsidR="005E3C59" w:rsidRDefault="005E3C59" w:rsidP="005E3C59">
      <w:pPr>
        <w:spacing w:before="0" w:after="0" w:line="240" w:lineRule="auto"/>
        <w:rPr>
          <w:sz w:val="18"/>
          <w:szCs w:val="18"/>
        </w:rPr>
      </w:pPr>
      <w:r w:rsidRPr="00472EFC">
        <w:rPr>
          <w:sz w:val="18"/>
          <w:szCs w:val="18"/>
        </w:rPr>
        <w:t xml:space="preserve">Zdroj: </w:t>
      </w:r>
      <w:r>
        <w:rPr>
          <w:sz w:val="18"/>
          <w:szCs w:val="18"/>
        </w:rPr>
        <w:t>OOP Ostrov, MěÚ Ostrov</w:t>
      </w:r>
    </w:p>
    <w:p w:rsidR="00D67065" w:rsidRDefault="00D67065" w:rsidP="00D67065">
      <w:pPr>
        <w:spacing w:before="120" w:after="120"/>
        <w:rPr>
          <w:rFonts w:cs="Arial-ItalicMT"/>
          <w:b/>
          <w:bCs/>
          <w:iCs/>
          <w:color w:val="372C74"/>
          <w:spacing w:val="10"/>
          <w:sz w:val="18"/>
          <w:szCs w:val="22"/>
        </w:rPr>
      </w:pPr>
    </w:p>
    <w:p w:rsidR="00D67065" w:rsidRDefault="00D67065" w:rsidP="00D67065">
      <w:pPr>
        <w:spacing w:before="120" w:after="120"/>
        <w:rPr>
          <w:sz w:val="18"/>
          <w:szCs w:val="18"/>
        </w:rPr>
      </w:pPr>
      <w:bookmarkStart w:id="134" w:name="_Toc516059007"/>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42</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Pr="00E03E82">
        <w:rPr>
          <w:rFonts w:cs="Arial-ItalicMT"/>
          <w:iCs/>
          <w:sz w:val="18"/>
          <w:szCs w:val="18"/>
        </w:rPr>
        <w:t xml:space="preserve">– </w:t>
      </w:r>
      <w:r>
        <w:rPr>
          <w:sz w:val="18"/>
          <w:szCs w:val="18"/>
        </w:rPr>
        <w:t>Vývoj počtu přestupků v období 2014 až 2017</w:t>
      </w:r>
      <w:bookmarkEnd w:id="134"/>
    </w:p>
    <w:p w:rsidR="005E3C59" w:rsidRDefault="00210EFA" w:rsidP="00D67065">
      <w:pPr>
        <w:spacing w:after="0"/>
      </w:pPr>
      <w:r w:rsidRPr="00210EFA">
        <w:rPr>
          <w:noProof/>
          <w:lang w:eastAsia="cs-CZ" w:bidi="ar-SA"/>
        </w:rPr>
        <w:drawing>
          <wp:inline distT="0" distB="0" distL="0" distR="0">
            <wp:extent cx="3565398" cy="2146138"/>
            <wp:effectExtent l="19050" t="0" r="0" b="0"/>
            <wp:docPr id="22"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srcRect/>
                    <a:stretch>
                      <a:fillRect/>
                    </a:stretch>
                  </pic:blipFill>
                  <pic:spPr bwMode="auto">
                    <a:xfrm>
                      <a:off x="0" y="0"/>
                      <a:ext cx="3565759" cy="2146355"/>
                    </a:xfrm>
                    <a:prstGeom prst="rect">
                      <a:avLst/>
                    </a:prstGeom>
                    <a:noFill/>
                    <a:ln w="9525">
                      <a:noFill/>
                      <a:miter lim="800000"/>
                      <a:headEnd/>
                      <a:tailEnd/>
                    </a:ln>
                  </pic:spPr>
                </pic:pic>
              </a:graphicData>
            </a:graphic>
          </wp:inline>
        </w:drawing>
      </w:r>
    </w:p>
    <w:p w:rsidR="00D67065" w:rsidRDefault="00D67065" w:rsidP="00D67065">
      <w:pPr>
        <w:spacing w:before="0" w:after="0" w:line="240" w:lineRule="auto"/>
        <w:rPr>
          <w:sz w:val="18"/>
          <w:szCs w:val="18"/>
        </w:rPr>
      </w:pPr>
      <w:r w:rsidRPr="00472EFC">
        <w:rPr>
          <w:sz w:val="18"/>
          <w:szCs w:val="18"/>
        </w:rPr>
        <w:t xml:space="preserve">Zdroj: </w:t>
      </w:r>
      <w:r>
        <w:rPr>
          <w:sz w:val="18"/>
          <w:szCs w:val="18"/>
        </w:rPr>
        <w:t>OOP Ostrov, MP Ostrov</w:t>
      </w:r>
    </w:p>
    <w:p w:rsidR="00D67065" w:rsidRDefault="00D67065" w:rsidP="00C27356"/>
    <w:p w:rsidR="00213E10" w:rsidRDefault="00213E10" w:rsidP="00213E10">
      <w:pPr>
        <w:pStyle w:val="Nadpis6"/>
      </w:pPr>
      <w:r w:rsidRPr="00213E10">
        <w:t>Bezpe</w:t>
      </w:r>
      <w:r w:rsidRPr="00213E10">
        <w:rPr>
          <w:rFonts w:hint="eastAsia"/>
        </w:rPr>
        <w:t>č</w:t>
      </w:r>
      <w:r w:rsidRPr="00213E10">
        <w:t>nostní analýza – Obvodní odd</w:t>
      </w:r>
      <w:r w:rsidRPr="00213E10">
        <w:rPr>
          <w:rFonts w:hint="eastAsia"/>
        </w:rPr>
        <w:t>ě</w:t>
      </w:r>
      <w:r w:rsidRPr="00213E10">
        <w:t xml:space="preserve">lení Policie </w:t>
      </w:r>
      <w:r w:rsidRPr="00213E10">
        <w:rPr>
          <w:rFonts w:hint="eastAsia"/>
        </w:rPr>
        <w:t>Č</w:t>
      </w:r>
      <w:r w:rsidRPr="00213E10">
        <w:t xml:space="preserve">R </w:t>
      </w:r>
      <w:r w:rsidR="00EC315A">
        <w:t>Ostrov</w:t>
      </w:r>
    </w:p>
    <w:p w:rsidR="00213E10" w:rsidRDefault="00C27356" w:rsidP="00213E10">
      <w:r w:rsidRPr="00C27356">
        <w:t xml:space="preserve">Mezi důležité kriminogenní faktory města patří </w:t>
      </w:r>
      <w:r w:rsidR="00D67065">
        <w:t xml:space="preserve">vývoj </w:t>
      </w:r>
      <w:r w:rsidRPr="00C27356">
        <w:t xml:space="preserve">jeho </w:t>
      </w:r>
      <w:r w:rsidR="00273F36">
        <w:t>demografické struktury</w:t>
      </w:r>
      <w:r w:rsidRPr="00C27356">
        <w:t xml:space="preserve">. </w:t>
      </w:r>
      <w:r w:rsidR="00273F36">
        <w:t>V roce 2014 celková kriminalita ve městě byla (vztaženo na počet obyvatel) nad průměrem kraje. Zatím, co počet obyvatel činil cca 5,7 %, tak podíl trestných činů činil 8 %. Situace se postupně zlepšuje a v roce 2017 je kriminalita ve městě mírně pod průměrem kraje.</w:t>
      </w:r>
    </w:p>
    <w:p w:rsidR="00273F36" w:rsidRDefault="00273F36" w:rsidP="00213E10">
      <w:r>
        <w:t xml:space="preserve">Počet trestných činů páchaných recidivisty v tomto období poklesl zhruba na třetinu. Alarmující ve struktuře pachatelů trestných činů je však skutečnost, že prudce narůstá počet nezletilých a </w:t>
      </w:r>
      <w:r>
        <w:lastRenderedPageBreak/>
        <w:t>mladistvých pachatelů.</w:t>
      </w:r>
      <w:r w:rsidR="00533220">
        <w:t xml:space="preserve"> Závažnost situace ještě vynikne porovnáním s celkovou trestnou činností nezletilých a mladistvých pachatelů v Karlovarském kraji.</w:t>
      </w:r>
    </w:p>
    <w:p w:rsidR="00210EFA" w:rsidRDefault="00210EFA" w:rsidP="00210EFA">
      <w:pPr>
        <w:spacing w:before="120" w:after="120"/>
        <w:rPr>
          <w:sz w:val="18"/>
          <w:szCs w:val="18"/>
        </w:rPr>
      </w:pPr>
      <w:bookmarkStart w:id="135" w:name="_Toc516059008"/>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43</w:t>
      </w:r>
      <w:r w:rsidR="005B55A2" w:rsidRPr="00F42013">
        <w:rPr>
          <w:rFonts w:cs="Arial-ItalicMT"/>
          <w:b/>
          <w:bCs/>
          <w:iCs/>
          <w:color w:val="372C74"/>
          <w:spacing w:val="10"/>
          <w:sz w:val="18"/>
          <w:szCs w:val="22"/>
        </w:rPr>
        <w:fldChar w:fldCharType="end"/>
      </w:r>
      <w:r w:rsidRPr="00F42013">
        <w:rPr>
          <w:rFonts w:cs="Arial-ItalicMT"/>
          <w:iCs/>
          <w:sz w:val="18"/>
          <w:szCs w:val="18"/>
        </w:rPr>
        <w:t xml:space="preserve"> </w:t>
      </w:r>
      <w:r w:rsidRPr="00E03E82">
        <w:rPr>
          <w:rFonts w:cs="Arial-ItalicMT"/>
          <w:iCs/>
          <w:sz w:val="18"/>
          <w:szCs w:val="18"/>
        </w:rPr>
        <w:t xml:space="preserve">– </w:t>
      </w:r>
      <w:r>
        <w:rPr>
          <w:sz w:val="18"/>
          <w:szCs w:val="18"/>
        </w:rPr>
        <w:t>Vývoj počtu trestných činů nezletilých a mladistvých v období 2014 až 2017</w:t>
      </w:r>
      <w:bookmarkEnd w:id="135"/>
    </w:p>
    <w:p w:rsidR="00210EFA" w:rsidRDefault="00210EFA" w:rsidP="00210EFA">
      <w:pPr>
        <w:spacing w:after="0"/>
      </w:pPr>
      <w:r w:rsidRPr="00210EFA">
        <w:rPr>
          <w:noProof/>
          <w:lang w:eastAsia="cs-CZ" w:bidi="ar-SA"/>
        </w:rPr>
        <w:drawing>
          <wp:inline distT="0" distB="0" distL="0" distR="0">
            <wp:extent cx="3814114" cy="2295849"/>
            <wp:effectExtent l="19050" t="0" r="0" b="0"/>
            <wp:docPr id="1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a:stretch>
                      <a:fillRect/>
                    </a:stretch>
                  </pic:blipFill>
                  <pic:spPr bwMode="auto">
                    <a:xfrm>
                      <a:off x="0" y="0"/>
                      <a:ext cx="3814499" cy="2296081"/>
                    </a:xfrm>
                    <a:prstGeom prst="rect">
                      <a:avLst/>
                    </a:prstGeom>
                    <a:noFill/>
                    <a:ln w="9525">
                      <a:noFill/>
                      <a:miter lim="800000"/>
                      <a:headEnd/>
                      <a:tailEnd/>
                    </a:ln>
                  </pic:spPr>
                </pic:pic>
              </a:graphicData>
            </a:graphic>
          </wp:inline>
        </w:drawing>
      </w:r>
    </w:p>
    <w:p w:rsidR="00210EFA" w:rsidRDefault="00210EFA" w:rsidP="00210EFA">
      <w:pPr>
        <w:spacing w:before="0" w:after="0" w:line="240" w:lineRule="auto"/>
        <w:rPr>
          <w:sz w:val="18"/>
          <w:szCs w:val="18"/>
        </w:rPr>
      </w:pPr>
      <w:r w:rsidRPr="00472EFC">
        <w:rPr>
          <w:sz w:val="18"/>
          <w:szCs w:val="18"/>
        </w:rPr>
        <w:t xml:space="preserve">Zdroj: </w:t>
      </w:r>
      <w:r>
        <w:rPr>
          <w:sz w:val="18"/>
          <w:szCs w:val="18"/>
        </w:rPr>
        <w:t>OOP Ostrov, MP Ostrov</w:t>
      </w:r>
    </w:p>
    <w:p w:rsidR="00D33F43" w:rsidRDefault="00D33F43" w:rsidP="00D33F43">
      <w:r w:rsidRPr="00605010">
        <w:t xml:space="preserve">Pozitivně se na posilování </w:t>
      </w:r>
      <w:r>
        <w:t xml:space="preserve">pocitu </w:t>
      </w:r>
      <w:r w:rsidRPr="00605010">
        <w:t>bezpeč</w:t>
      </w:r>
      <w:r>
        <w:t>í sice</w:t>
      </w:r>
      <w:r w:rsidRPr="00605010">
        <w:t xml:space="preserve"> odráží zvýšená aktivita městské policie,</w:t>
      </w:r>
      <w:r>
        <w:t xml:space="preserve"> u níž je</w:t>
      </w:r>
      <w:r w:rsidRPr="00605010">
        <w:t xml:space="preserve"> dlouhodobě kladen důraz zejména na zvýšení podílu obchůzkové pěší služby v přímém výkonu</w:t>
      </w:r>
      <w:r>
        <w:t>,</w:t>
      </w:r>
      <w:r w:rsidRPr="00605010">
        <w:t xml:space="preserve"> a</w:t>
      </w:r>
      <w:r>
        <w:t>le ani</w:t>
      </w:r>
      <w:r w:rsidRPr="00605010">
        <w:t xml:space="preserve"> vyšší preventivní činnost policistů, </w:t>
      </w:r>
      <w:r>
        <w:t>ani rozvoj kamerového systému problém zcela neřeší.</w:t>
      </w:r>
    </w:p>
    <w:p w:rsidR="00D33F43" w:rsidRDefault="00D33F43" w:rsidP="00D33F43">
      <w:r>
        <w:t>Klíčem v oblasti pocitu bezpečí a pořádku je tolerance a vzájemné ohledy na potřeby, pocity a životní styl té které části obyvatel města. Jakkoliv se situace jeví navenek jako bezproblémová, občané města velmi negativně vnímají omezení svých práv na klidný život, bezpečí a pořádek v místě, kde žijí.</w:t>
      </w:r>
    </w:p>
    <w:p w:rsidR="00213E10" w:rsidRPr="00213E10" w:rsidRDefault="00213E10" w:rsidP="00213E10">
      <w:pPr>
        <w:pStyle w:val="Nadpis6"/>
      </w:pPr>
      <w:r w:rsidRPr="00213E10">
        <w:t>Vybrané statistické údaje v oblasti kriminality</w:t>
      </w:r>
    </w:p>
    <w:p w:rsidR="00213E10" w:rsidRDefault="00213E10" w:rsidP="00213E10">
      <w:pPr>
        <w:autoSpaceDE w:val="0"/>
        <w:autoSpaceDN w:val="0"/>
        <w:adjustRightInd w:val="0"/>
        <w:spacing w:before="0" w:after="0" w:line="240" w:lineRule="auto"/>
        <w:jc w:val="left"/>
        <w:rPr>
          <w:rFonts w:ascii="Times New Roman" w:hAnsi="Times New Roman"/>
          <w:b/>
          <w:bCs/>
          <w:spacing w:val="0"/>
          <w:sz w:val="24"/>
          <w:szCs w:val="24"/>
          <w:lang w:bidi="ar-SA"/>
        </w:rPr>
      </w:pPr>
    </w:p>
    <w:p w:rsidR="00210EFA" w:rsidRPr="009D5F06" w:rsidRDefault="00210EFA" w:rsidP="00210EFA">
      <w:pPr>
        <w:spacing w:before="0" w:after="120"/>
        <w:rPr>
          <w:rFonts w:asciiTheme="minorHAnsi" w:hAnsiTheme="minorHAnsi" w:cs="Arial-ItalicMT"/>
          <w:iCs/>
          <w:sz w:val="18"/>
          <w:szCs w:val="18"/>
        </w:rPr>
      </w:pPr>
      <w:bookmarkStart w:id="136" w:name="_Toc516059041"/>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32</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Pr>
          <w:rFonts w:asciiTheme="minorHAnsi" w:hAnsiTheme="minorHAnsi" w:cs="Arial-ItalicMT"/>
          <w:iCs/>
          <w:sz w:val="18"/>
          <w:szCs w:val="18"/>
        </w:rPr>
        <w:t>Pachatelé</w:t>
      </w:r>
      <w:r w:rsidRPr="00C63800">
        <w:rPr>
          <w:rFonts w:asciiTheme="minorHAnsi" w:hAnsiTheme="minorHAnsi" w:cs="Arial-ItalicMT"/>
          <w:iCs/>
          <w:sz w:val="18"/>
          <w:szCs w:val="18"/>
        </w:rPr>
        <w:t xml:space="preserve"> </w:t>
      </w:r>
      <w:r>
        <w:rPr>
          <w:rFonts w:asciiTheme="minorHAnsi" w:hAnsiTheme="minorHAnsi" w:cs="Arial-ItalicMT"/>
          <w:iCs/>
          <w:sz w:val="18"/>
          <w:szCs w:val="18"/>
        </w:rPr>
        <w:t>trestních činů,</w:t>
      </w:r>
      <w:r w:rsidRPr="00C63800">
        <w:rPr>
          <w:rFonts w:asciiTheme="minorHAnsi" w:hAnsiTheme="minorHAnsi" w:cs="Arial-ItalicMT"/>
          <w:iCs/>
          <w:sz w:val="18"/>
          <w:szCs w:val="18"/>
        </w:rPr>
        <w:t xml:space="preserve"> přijatých na OOP</w:t>
      </w:r>
      <w:r>
        <w:rPr>
          <w:rFonts w:asciiTheme="minorHAnsi" w:hAnsiTheme="minorHAnsi" w:cs="Arial-ItalicMT"/>
          <w:iCs/>
          <w:sz w:val="18"/>
          <w:szCs w:val="18"/>
        </w:rPr>
        <w:t xml:space="preserve"> ČR</w:t>
      </w:r>
      <w:r w:rsidRPr="00C63800">
        <w:rPr>
          <w:rFonts w:asciiTheme="minorHAnsi" w:hAnsiTheme="minorHAnsi" w:cs="Arial-ItalicMT"/>
          <w:iCs/>
          <w:sz w:val="18"/>
          <w:szCs w:val="18"/>
        </w:rPr>
        <w:t xml:space="preserve"> v období 1.1.-31.12. v k.ú. města </w:t>
      </w:r>
      <w:r>
        <w:rPr>
          <w:rFonts w:asciiTheme="minorHAnsi" w:hAnsiTheme="minorHAnsi" w:cs="Arial-ItalicMT"/>
          <w:iCs/>
          <w:sz w:val="18"/>
          <w:szCs w:val="18"/>
        </w:rPr>
        <w:t>Ostrov</w:t>
      </w:r>
      <w:bookmarkEnd w:id="136"/>
    </w:p>
    <w:tbl>
      <w:tblPr>
        <w:tblStyle w:val="Mkatabulky"/>
        <w:tblW w:w="0" w:type="auto"/>
        <w:jc w:val="center"/>
        <w:tblLook w:val="04A0" w:firstRow="1" w:lastRow="0" w:firstColumn="1" w:lastColumn="0" w:noHBand="0" w:noVBand="1"/>
      </w:tblPr>
      <w:tblGrid>
        <w:gridCol w:w="1141"/>
        <w:gridCol w:w="1768"/>
        <w:gridCol w:w="1769"/>
        <w:gridCol w:w="1769"/>
        <w:gridCol w:w="1769"/>
      </w:tblGrid>
      <w:tr w:rsidR="00210EFA" w:rsidRPr="002A6B49" w:rsidTr="00FD36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1" w:type="dxa"/>
          </w:tcPr>
          <w:p w:rsidR="00210EFA" w:rsidRPr="002A6B49" w:rsidRDefault="00210EFA" w:rsidP="00FD36A0">
            <w:pPr>
              <w:spacing w:before="0" w:after="0"/>
              <w:jc w:val="center"/>
              <w:rPr>
                <w:rFonts w:asciiTheme="majorHAnsi" w:hAnsiTheme="majorHAnsi"/>
                <w:b/>
                <w:sz w:val="16"/>
                <w:szCs w:val="16"/>
              </w:rPr>
            </w:pPr>
            <w:r w:rsidRPr="002A6B49">
              <w:rPr>
                <w:rFonts w:asciiTheme="majorHAnsi" w:hAnsiTheme="majorHAnsi"/>
                <w:b/>
                <w:sz w:val="16"/>
                <w:szCs w:val="16"/>
              </w:rPr>
              <w:t>ROK</w:t>
            </w:r>
          </w:p>
        </w:tc>
        <w:tc>
          <w:tcPr>
            <w:tcW w:w="1768" w:type="dxa"/>
          </w:tcPr>
          <w:p w:rsidR="00210EFA" w:rsidRPr="002A6B49" w:rsidRDefault="00210EFA" w:rsidP="00210EFA">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nezletilí (do 15 let)</w:t>
            </w:r>
          </w:p>
        </w:tc>
        <w:tc>
          <w:tcPr>
            <w:tcW w:w="1769" w:type="dxa"/>
          </w:tcPr>
          <w:p w:rsidR="00210EFA" w:rsidRPr="002A6B49" w:rsidRDefault="00210EFA" w:rsidP="00210EFA">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mladiství (15 – 18 let)</w:t>
            </w:r>
          </w:p>
        </w:tc>
        <w:tc>
          <w:tcPr>
            <w:tcW w:w="1769" w:type="dxa"/>
          </w:tcPr>
          <w:p w:rsidR="00210EFA" w:rsidRPr="002A6B49" w:rsidRDefault="00210EFA" w:rsidP="00FD36A0">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dospělí (18 let a více)</w:t>
            </w:r>
          </w:p>
        </w:tc>
        <w:tc>
          <w:tcPr>
            <w:tcW w:w="1769" w:type="dxa"/>
          </w:tcPr>
          <w:p w:rsidR="00210EFA" w:rsidRDefault="00210EFA" w:rsidP="001A1563">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reci</w:t>
            </w:r>
            <w:r w:rsidR="001A1563">
              <w:rPr>
                <w:rFonts w:asciiTheme="majorHAnsi" w:hAnsiTheme="majorHAnsi"/>
                <w:b/>
                <w:sz w:val="16"/>
                <w:szCs w:val="16"/>
              </w:rPr>
              <w:t>d</w:t>
            </w:r>
            <w:r>
              <w:rPr>
                <w:rFonts w:asciiTheme="majorHAnsi" w:hAnsiTheme="majorHAnsi"/>
                <w:b/>
                <w:sz w:val="16"/>
                <w:szCs w:val="16"/>
              </w:rPr>
              <w:t>i</w:t>
            </w:r>
            <w:r w:rsidR="001A1563">
              <w:rPr>
                <w:rFonts w:asciiTheme="majorHAnsi" w:hAnsiTheme="majorHAnsi"/>
                <w:b/>
                <w:sz w:val="16"/>
                <w:szCs w:val="16"/>
              </w:rPr>
              <w:t>v</w:t>
            </w:r>
            <w:r>
              <w:rPr>
                <w:rFonts w:asciiTheme="majorHAnsi" w:hAnsiTheme="majorHAnsi"/>
                <w:b/>
                <w:sz w:val="16"/>
                <w:szCs w:val="16"/>
              </w:rPr>
              <w:t>isté</w:t>
            </w:r>
          </w:p>
        </w:tc>
      </w:tr>
      <w:tr w:rsidR="00210EFA" w:rsidRPr="00DF5BC2" w:rsidTr="00FD36A0">
        <w:trPr>
          <w:jc w:val="center"/>
        </w:trPr>
        <w:tc>
          <w:tcPr>
            <w:cnfStyle w:val="001000000000" w:firstRow="0" w:lastRow="0" w:firstColumn="1" w:lastColumn="0" w:oddVBand="0" w:evenVBand="0" w:oddHBand="0" w:evenHBand="0" w:firstRowFirstColumn="0" w:firstRowLastColumn="0" w:lastRowFirstColumn="0" w:lastRowLastColumn="0"/>
            <w:tcW w:w="1141" w:type="dxa"/>
            <w:vAlign w:val="bottom"/>
          </w:tcPr>
          <w:p w:rsidR="00210EFA" w:rsidRPr="00DF5BC2" w:rsidRDefault="00210EFA" w:rsidP="00FD36A0">
            <w:pPr>
              <w:spacing w:before="0" w:after="0" w:line="240" w:lineRule="auto"/>
              <w:rPr>
                <w:rFonts w:asciiTheme="minorHAnsi" w:hAnsiTheme="minorHAnsi"/>
                <w:color w:val="000000"/>
                <w:sz w:val="16"/>
                <w:szCs w:val="16"/>
              </w:rPr>
            </w:pPr>
            <w:r w:rsidRPr="00DF5BC2">
              <w:rPr>
                <w:rFonts w:asciiTheme="minorHAnsi" w:hAnsiTheme="minorHAnsi"/>
                <w:color w:val="000000"/>
                <w:sz w:val="16"/>
                <w:szCs w:val="16"/>
              </w:rPr>
              <w:t>201</w:t>
            </w:r>
            <w:r>
              <w:rPr>
                <w:rFonts w:asciiTheme="minorHAnsi" w:hAnsiTheme="minorHAnsi"/>
                <w:color w:val="000000"/>
                <w:sz w:val="16"/>
                <w:szCs w:val="16"/>
              </w:rPr>
              <w:t>4</w:t>
            </w:r>
          </w:p>
        </w:tc>
        <w:tc>
          <w:tcPr>
            <w:tcW w:w="1768" w:type="dxa"/>
            <w:vAlign w:val="bottom"/>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0</w:t>
            </w:r>
          </w:p>
        </w:tc>
        <w:tc>
          <w:tcPr>
            <w:tcW w:w="1769" w:type="dxa"/>
            <w:vAlign w:val="bottom"/>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6</w:t>
            </w:r>
          </w:p>
        </w:tc>
        <w:tc>
          <w:tcPr>
            <w:tcW w:w="1769" w:type="dxa"/>
          </w:tcPr>
          <w:p w:rsidR="00210EFA" w:rsidRPr="00DF5BC2" w:rsidRDefault="00210EFA" w:rsidP="00210EF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227</w:t>
            </w:r>
          </w:p>
        </w:tc>
        <w:tc>
          <w:tcPr>
            <w:tcW w:w="1769" w:type="dxa"/>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140</w:t>
            </w:r>
          </w:p>
        </w:tc>
      </w:tr>
      <w:tr w:rsidR="00210EFA" w:rsidRPr="00DF5BC2" w:rsidTr="00FD36A0">
        <w:trPr>
          <w:jc w:val="center"/>
        </w:trPr>
        <w:tc>
          <w:tcPr>
            <w:cnfStyle w:val="001000000000" w:firstRow="0" w:lastRow="0" w:firstColumn="1" w:lastColumn="0" w:oddVBand="0" w:evenVBand="0" w:oddHBand="0" w:evenHBand="0" w:firstRowFirstColumn="0" w:firstRowLastColumn="0" w:lastRowFirstColumn="0" w:lastRowLastColumn="0"/>
            <w:tcW w:w="1141" w:type="dxa"/>
            <w:vAlign w:val="bottom"/>
          </w:tcPr>
          <w:p w:rsidR="00210EFA" w:rsidRPr="00DF5BC2" w:rsidRDefault="00210EFA" w:rsidP="00FD36A0">
            <w:pPr>
              <w:spacing w:before="0" w:after="0" w:line="240" w:lineRule="auto"/>
              <w:rPr>
                <w:rFonts w:asciiTheme="minorHAnsi" w:hAnsiTheme="minorHAnsi"/>
                <w:color w:val="000000"/>
                <w:sz w:val="16"/>
                <w:szCs w:val="16"/>
              </w:rPr>
            </w:pPr>
            <w:r w:rsidRPr="00DF5BC2">
              <w:rPr>
                <w:rFonts w:asciiTheme="minorHAnsi" w:hAnsiTheme="minorHAnsi"/>
                <w:color w:val="000000"/>
                <w:sz w:val="16"/>
                <w:szCs w:val="16"/>
              </w:rPr>
              <w:t>201</w:t>
            </w:r>
            <w:r>
              <w:rPr>
                <w:rFonts w:asciiTheme="minorHAnsi" w:hAnsiTheme="minorHAnsi"/>
                <w:color w:val="000000"/>
                <w:sz w:val="16"/>
                <w:szCs w:val="16"/>
              </w:rPr>
              <w:t>5</w:t>
            </w:r>
          </w:p>
        </w:tc>
        <w:tc>
          <w:tcPr>
            <w:tcW w:w="1768" w:type="dxa"/>
            <w:vAlign w:val="bottom"/>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5</w:t>
            </w:r>
          </w:p>
        </w:tc>
        <w:tc>
          <w:tcPr>
            <w:tcW w:w="1769" w:type="dxa"/>
            <w:vAlign w:val="bottom"/>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w:t>
            </w:r>
          </w:p>
        </w:tc>
        <w:tc>
          <w:tcPr>
            <w:tcW w:w="1769" w:type="dxa"/>
          </w:tcPr>
          <w:p w:rsidR="00210EFA" w:rsidRPr="00DF5BC2" w:rsidRDefault="00210EFA" w:rsidP="00210EF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254</w:t>
            </w:r>
          </w:p>
        </w:tc>
        <w:tc>
          <w:tcPr>
            <w:tcW w:w="1769" w:type="dxa"/>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181</w:t>
            </w:r>
          </w:p>
        </w:tc>
      </w:tr>
      <w:tr w:rsidR="00210EFA" w:rsidRPr="00DF5BC2" w:rsidTr="00FD36A0">
        <w:trPr>
          <w:jc w:val="center"/>
        </w:trPr>
        <w:tc>
          <w:tcPr>
            <w:cnfStyle w:val="001000000000" w:firstRow="0" w:lastRow="0" w:firstColumn="1" w:lastColumn="0" w:oddVBand="0" w:evenVBand="0" w:oddHBand="0" w:evenHBand="0" w:firstRowFirstColumn="0" w:firstRowLastColumn="0" w:lastRowFirstColumn="0" w:lastRowLastColumn="0"/>
            <w:tcW w:w="1141" w:type="dxa"/>
            <w:vAlign w:val="bottom"/>
          </w:tcPr>
          <w:p w:rsidR="00210EFA" w:rsidRPr="00DF5BC2" w:rsidRDefault="00210EFA" w:rsidP="00FD36A0">
            <w:pPr>
              <w:spacing w:before="0" w:after="0" w:line="240" w:lineRule="auto"/>
              <w:rPr>
                <w:rFonts w:asciiTheme="minorHAnsi" w:hAnsiTheme="minorHAnsi"/>
                <w:color w:val="000000"/>
                <w:sz w:val="16"/>
                <w:szCs w:val="16"/>
              </w:rPr>
            </w:pPr>
            <w:r>
              <w:rPr>
                <w:rFonts w:asciiTheme="minorHAnsi" w:hAnsiTheme="minorHAnsi"/>
                <w:color w:val="000000"/>
                <w:sz w:val="16"/>
                <w:szCs w:val="16"/>
              </w:rPr>
              <w:t>2016</w:t>
            </w:r>
          </w:p>
        </w:tc>
        <w:tc>
          <w:tcPr>
            <w:tcW w:w="1768" w:type="dxa"/>
            <w:vAlign w:val="bottom"/>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1</w:t>
            </w:r>
          </w:p>
        </w:tc>
        <w:tc>
          <w:tcPr>
            <w:tcW w:w="1769" w:type="dxa"/>
            <w:vAlign w:val="bottom"/>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10</w:t>
            </w:r>
          </w:p>
        </w:tc>
        <w:tc>
          <w:tcPr>
            <w:tcW w:w="1769" w:type="dxa"/>
          </w:tcPr>
          <w:p w:rsidR="00210EFA" w:rsidRDefault="00210EFA" w:rsidP="00210EFA">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221</w:t>
            </w:r>
          </w:p>
        </w:tc>
        <w:tc>
          <w:tcPr>
            <w:tcW w:w="1769" w:type="dxa"/>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186</w:t>
            </w:r>
          </w:p>
        </w:tc>
      </w:tr>
      <w:tr w:rsidR="00210EFA" w:rsidRPr="00DF5BC2" w:rsidTr="00FD36A0">
        <w:trPr>
          <w:jc w:val="center"/>
        </w:trPr>
        <w:tc>
          <w:tcPr>
            <w:cnfStyle w:val="001000000000" w:firstRow="0" w:lastRow="0" w:firstColumn="1" w:lastColumn="0" w:oddVBand="0" w:evenVBand="0" w:oddHBand="0" w:evenHBand="0" w:firstRowFirstColumn="0" w:firstRowLastColumn="0" w:lastRowFirstColumn="0" w:lastRowLastColumn="0"/>
            <w:tcW w:w="1141" w:type="dxa"/>
            <w:vAlign w:val="bottom"/>
          </w:tcPr>
          <w:p w:rsidR="00210EFA" w:rsidRDefault="00210EFA" w:rsidP="00FD36A0">
            <w:pPr>
              <w:spacing w:before="0" w:after="0" w:line="240" w:lineRule="auto"/>
              <w:rPr>
                <w:rFonts w:asciiTheme="minorHAnsi" w:hAnsiTheme="minorHAnsi"/>
                <w:color w:val="000000"/>
                <w:sz w:val="16"/>
                <w:szCs w:val="16"/>
              </w:rPr>
            </w:pPr>
            <w:r>
              <w:rPr>
                <w:rFonts w:asciiTheme="minorHAnsi" w:hAnsiTheme="minorHAnsi"/>
                <w:color w:val="000000"/>
                <w:sz w:val="16"/>
                <w:szCs w:val="16"/>
              </w:rPr>
              <w:t>2017</w:t>
            </w:r>
          </w:p>
        </w:tc>
        <w:tc>
          <w:tcPr>
            <w:tcW w:w="1768" w:type="dxa"/>
            <w:vAlign w:val="bottom"/>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10</w:t>
            </w:r>
          </w:p>
        </w:tc>
        <w:tc>
          <w:tcPr>
            <w:tcW w:w="1769" w:type="dxa"/>
            <w:vAlign w:val="bottom"/>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19</w:t>
            </w:r>
          </w:p>
        </w:tc>
        <w:tc>
          <w:tcPr>
            <w:tcW w:w="1769" w:type="dxa"/>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222</w:t>
            </w:r>
          </w:p>
        </w:tc>
        <w:tc>
          <w:tcPr>
            <w:tcW w:w="1769" w:type="dxa"/>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59</w:t>
            </w:r>
          </w:p>
        </w:tc>
      </w:tr>
    </w:tbl>
    <w:p w:rsidR="00210EFA" w:rsidRDefault="00210EFA" w:rsidP="00210EFA">
      <w:pPr>
        <w:spacing w:before="0" w:after="0" w:line="240" w:lineRule="auto"/>
        <w:rPr>
          <w:sz w:val="18"/>
          <w:szCs w:val="18"/>
        </w:rPr>
      </w:pPr>
      <w:r w:rsidRPr="00472EFC">
        <w:rPr>
          <w:sz w:val="18"/>
          <w:szCs w:val="18"/>
        </w:rPr>
        <w:t xml:space="preserve">Zdroj: </w:t>
      </w:r>
      <w:r w:rsidRPr="002A6B49">
        <w:rPr>
          <w:sz w:val="18"/>
          <w:szCs w:val="18"/>
        </w:rPr>
        <w:t xml:space="preserve">Obvodní oddělení Policie ČR </w:t>
      </w:r>
      <w:r>
        <w:rPr>
          <w:sz w:val="18"/>
          <w:szCs w:val="18"/>
        </w:rPr>
        <w:t>Ostrov</w:t>
      </w:r>
    </w:p>
    <w:p w:rsidR="00210EFA" w:rsidRDefault="00210EFA" w:rsidP="00210EFA">
      <w:pPr>
        <w:spacing w:before="0" w:after="0" w:line="240" w:lineRule="auto"/>
        <w:rPr>
          <w:sz w:val="18"/>
          <w:szCs w:val="18"/>
        </w:rPr>
      </w:pPr>
    </w:p>
    <w:p w:rsidR="00210EFA" w:rsidRDefault="00210EFA" w:rsidP="00210EFA">
      <w:pPr>
        <w:autoSpaceDE w:val="0"/>
        <w:autoSpaceDN w:val="0"/>
        <w:adjustRightInd w:val="0"/>
        <w:spacing w:before="0" w:after="0" w:line="240" w:lineRule="auto"/>
        <w:jc w:val="left"/>
        <w:rPr>
          <w:rFonts w:ascii="Times New Roman" w:hAnsi="Times New Roman"/>
          <w:spacing w:val="0"/>
          <w:sz w:val="24"/>
          <w:szCs w:val="24"/>
          <w:lang w:bidi="ar-SA"/>
        </w:rPr>
      </w:pPr>
    </w:p>
    <w:p w:rsidR="00210EFA" w:rsidRPr="009D5F06" w:rsidRDefault="00210EFA" w:rsidP="00210EFA">
      <w:pPr>
        <w:spacing w:before="0" w:after="120"/>
        <w:rPr>
          <w:rFonts w:asciiTheme="minorHAnsi" w:hAnsiTheme="minorHAnsi" w:cs="Arial-ItalicMT"/>
          <w:iCs/>
          <w:sz w:val="18"/>
          <w:szCs w:val="18"/>
        </w:rPr>
      </w:pPr>
      <w:bookmarkStart w:id="137" w:name="_Toc516059042"/>
      <w:r w:rsidRPr="00684E79">
        <w:rPr>
          <w:rFonts w:asciiTheme="minorHAnsi" w:hAnsiTheme="minorHAnsi" w:cs="Arial-ItalicMT"/>
          <w:b/>
          <w:bCs/>
          <w:iCs/>
          <w:color w:val="372C74"/>
          <w:spacing w:val="10"/>
          <w:sz w:val="18"/>
          <w:szCs w:val="22"/>
        </w:rPr>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33</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 </w:t>
      </w:r>
      <w:r w:rsidRPr="00C63800">
        <w:rPr>
          <w:rFonts w:asciiTheme="minorHAnsi" w:hAnsiTheme="minorHAnsi" w:cs="Arial-ItalicMT"/>
          <w:iCs/>
          <w:sz w:val="18"/>
          <w:szCs w:val="18"/>
        </w:rPr>
        <w:t xml:space="preserve">Oběti </w:t>
      </w:r>
      <w:r>
        <w:rPr>
          <w:rFonts w:asciiTheme="minorHAnsi" w:hAnsiTheme="minorHAnsi" w:cs="Arial-ItalicMT"/>
          <w:iCs/>
          <w:sz w:val="18"/>
          <w:szCs w:val="18"/>
        </w:rPr>
        <w:t>trestních činů,</w:t>
      </w:r>
      <w:r w:rsidRPr="00C63800">
        <w:rPr>
          <w:rFonts w:asciiTheme="minorHAnsi" w:hAnsiTheme="minorHAnsi" w:cs="Arial-ItalicMT"/>
          <w:iCs/>
          <w:sz w:val="18"/>
          <w:szCs w:val="18"/>
        </w:rPr>
        <w:t xml:space="preserve"> přijatých na OOP</w:t>
      </w:r>
      <w:r>
        <w:rPr>
          <w:rFonts w:asciiTheme="minorHAnsi" w:hAnsiTheme="minorHAnsi" w:cs="Arial-ItalicMT"/>
          <w:iCs/>
          <w:sz w:val="18"/>
          <w:szCs w:val="18"/>
        </w:rPr>
        <w:t xml:space="preserve"> ČR</w:t>
      </w:r>
      <w:r w:rsidRPr="00C63800">
        <w:rPr>
          <w:rFonts w:asciiTheme="minorHAnsi" w:hAnsiTheme="minorHAnsi" w:cs="Arial-ItalicMT"/>
          <w:iCs/>
          <w:sz w:val="18"/>
          <w:szCs w:val="18"/>
        </w:rPr>
        <w:t xml:space="preserve"> v období 1.1.-31.12. v k.ú. města </w:t>
      </w:r>
      <w:r>
        <w:rPr>
          <w:rFonts w:asciiTheme="minorHAnsi" w:hAnsiTheme="minorHAnsi" w:cs="Arial-ItalicMT"/>
          <w:iCs/>
          <w:sz w:val="18"/>
          <w:szCs w:val="18"/>
        </w:rPr>
        <w:t>Ostrov</w:t>
      </w:r>
      <w:bookmarkEnd w:id="137"/>
    </w:p>
    <w:tbl>
      <w:tblPr>
        <w:tblStyle w:val="Mkatabulky"/>
        <w:tblW w:w="0" w:type="auto"/>
        <w:jc w:val="center"/>
        <w:tblLook w:val="04A0" w:firstRow="1" w:lastRow="0" w:firstColumn="1" w:lastColumn="0" w:noHBand="0" w:noVBand="1"/>
      </w:tblPr>
      <w:tblGrid>
        <w:gridCol w:w="1129"/>
        <w:gridCol w:w="2362"/>
        <w:gridCol w:w="2362"/>
        <w:gridCol w:w="2363"/>
      </w:tblGrid>
      <w:tr w:rsidR="00210EFA" w:rsidRPr="002A6B49" w:rsidTr="00FD36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29" w:type="dxa"/>
          </w:tcPr>
          <w:p w:rsidR="00210EFA" w:rsidRPr="002A6B49" w:rsidRDefault="00210EFA" w:rsidP="00FD36A0">
            <w:pPr>
              <w:spacing w:before="0" w:after="0"/>
              <w:jc w:val="center"/>
              <w:rPr>
                <w:rFonts w:asciiTheme="majorHAnsi" w:hAnsiTheme="majorHAnsi"/>
                <w:b/>
                <w:sz w:val="16"/>
                <w:szCs w:val="16"/>
              </w:rPr>
            </w:pPr>
            <w:r w:rsidRPr="002A6B49">
              <w:rPr>
                <w:rFonts w:asciiTheme="majorHAnsi" w:hAnsiTheme="majorHAnsi"/>
                <w:b/>
                <w:sz w:val="16"/>
                <w:szCs w:val="16"/>
              </w:rPr>
              <w:t>ROK</w:t>
            </w:r>
          </w:p>
        </w:tc>
        <w:tc>
          <w:tcPr>
            <w:tcW w:w="2362" w:type="dxa"/>
          </w:tcPr>
          <w:p w:rsidR="00210EFA" w:rsidRPr="002A6B49" w:rsidRDefault="00210EFA" w:rsidP="00FD36A0">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věk 0 – 18 let</w:t>
            </w:r>
          </w:p>
        </w:tc>
        <w:tc>
          <w:tcPr>
            <w:tcW w:w="2362" w:type="dxa"/>
          </w:tcPr>
          <w:p w:rsidR="00210EFA" w:rsidRPr="002A6B49" w:rsidRDefault="00210EFA" w:rsidP="00FD36A0">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ženy</w:t>
            </w:r>
          </w:p>
        </w:tc>
        <w:tc>
          <w:tcPr>
            <w:tcW w:w="2363" w:type="dxa"/>
          </w:tcPr>
          <w:p w:rsidR="00210EFA" w:rsidRPr="002A6B49" w:rsidRDefault="00210EFA" w:rsidP="00FD36A0">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sz w:val="16"/>
                <w:szCs w:val="16"/>
              </w:rPr>
            </w:pPr>
            <w:r>
              <w:rPr>
                <w:rFonts w:asciiTheme="majorHAnsi" w:hAnsiTheme="majorHAnsi"/>
                <w:b/>
                <w:sz w:val="16"/>
                <w:szCs w:val="16"/>
              </w:rPr>
              <w:t>Osoby starší 65 let</w:t>
            </w:r>
          </w:p>
        </w:tc>
      </w:tr>
      <w:tr w:rsidR="00210EFA" w:rsidRPr="00DF5BC2" w:rsidTr="00FD36A0">
        <w:trPr>
          <w:jc w:val="center"/>
        </w:trPr>
        <w:tc>
          <w:tcPr>
            <w:cnfStyle w:val="001000000000" w:firstRow="0" w:lastRow="0" w:firstColumn="1" w:lastColumn="0" w:oddVBand="0" w:evenVBand="0" w:oddHBand="0" w:evenHBand="0" w:firstRowFirstColumn="0" w:firstRowLastColumn="0" w:lastRowFirstColumn="0" w:lastRowLastColumn="0"/>
            <w:tcW w:w="1129" w:type="dxa"/>
            <w:vAlign w:val="bottom"/>
          </w:tcPr>
          <w:p w:rsidR="00210EFA" w:rsidRPr="00DF5BC2" w:rsidRDefault="00210EFA" w:rsidP="00FD36A0">
            <w:pPr>
              <w:spacing w:before="0" w:after="0" w:line="240" w:lineRule="auto"/>
              <w:rPr>
                <w:rFonts w:asciiTheme="minorHAnsi" w:hAnsiTheme="minorHAnsi"/>
                <w:color w:val="000000"/>
                <w:sz w:val="16"/>
                <w:szCs w:val="16"/>
              </w:rPr>
            </w:pPr>
            <w:r w:rsidRPr="00DF5BC2">
              <w:rPr>
                <w:rFonts w:asciiTheme="minorHAnsi" w:hAnsiTheme="minorHAnsi"/>
                <w:color w:val="000000"/>
                <w:sz w:val="16"/>
                <w:szCs w:val="16"/>
              </w:rPr>
              <w:t>201</w:t>
            </w:r>
            <w:r>
              <w:rPr>
                <w:rFonts w:asciiTheme="minorHAnsi" w:hAnsiTheme="minorHAnsi"/>
                <w:color w:val="000000"/>
                <w:sz w:val="16"/>
                <w:szCs w:val="16"/>
              </w:rPr>
              <w:t>4</w:t>
            </w:r>
          </w:p>
        </w:tc>
        <w:tc>
          <w:tcPr>
            <w:tcW w:w="2362" w:type="dxa"/>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22</w:t>
            </w:r>
          </w:p>
        </w:tc>
        <w:tc>
          <w:tcPr>
            <w:tcW w:w="2362" w:type="dxa"/>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172</w:t>
            </w:r>
          </w:p>
        </w:tc>
        <w:tc>
          <w:tcPr>
            <w:tcW w:w="2363" w:type="dxa"/>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68</w:t>
            </w:r>
          </w:p>
        </w:tc>
      </w:tr>
      <w:tr w:rsidR="00210EFA" w:rsidRPr="00DF5BC2" w:rsidTr="00FD36A0">
        <w:trPr>
          <w:jc w:val="center"/>
        </w:trPr>
        <w:tc>
          <w:tcPr>
            <w:cnfStyle w:val="001000000000" w:firstRow="0" w:lastRow="0" w:firstColumn="1" w:lastColumn="0" w:oddVBand="0" w:evenVBand="0" w:oddHBand="0" w:evenHBand="0" w:firstRowFirstColumn="0" w:firstRowLastColumn="0" w:lastRowFirstColumn="0" w:lastRowLastColumn="0"/>
            <w:tcW w:w="1129" w:type="dxa"/>
            <w:vAlign w:val="bottom"/>
          </w:tcPr>
          <w:p w:rsidR="00210EFA" w:rsidRPr="00DF5BC2" w:rsidRDefault="00210EFA" w:rsidP="00FD36A0">
            <w:pPr>
              <w:spacing w:before="0" w:after="0" w:line="240" w:lineRule="auto"/>
              <w:rPr>
                <w:rFonts w:asciiTheme="minorHAnsi" w:hAnsiTheme="minorHAnsi"/>
                <w:color w:val="000000"/>
                <w:sz w:val="16"/>
                <w:szCs w:val="16"/>
              </w:rPr>
            </w:pPr>
            <w:r w:rsidRPr="00DF5BC2">
              <w:rPr>
                <w:rFonts w:asciiTheme="minorHAnsi" w:hAnsiTheme="minorHAnsi"/>
                <w:color w:val="000000"/>
                <w:sz w:val="16"/>
                <w:szCs w:val="16"/>
              </w:rPr>
              <w:t>201</w:t>
            </w:r>
            <w:r>
              <w:rPr>
                <w:rFonts w:asciiTheme="minorHAnsi" w:hAnsiTheme="minorHAnsi"/>
                <w:color w:val="000000"/>
                <w:sz w:val="16"/>
                <w:szCs w:val="16"/>
              </w:rPr>
              <w:t>5</w:t>
            </w:r>
          </w:p>
        </w:tc>
        <w:tc>
          <w:tcPr>
            <w:tcW w:w="2362" w:type="dxa"/>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17</w:t>
            </w:r>
          </w:p>
        </w:tc>
        <w:tc>
          <w:tcPr>
            <w:tcW w:w="2362" w:type="dxa"/>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134</w:t>
            </w:r>
          </w:p>
        </w:tc>
        <w:tc>
          <w:tcPr>
            <w:tcW w:w="2363" w:type="dxa"/>
          </w:tcPr>
          <w:p w:rsidR="00210EFA" w:rsidRPr="00DF5BC2"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27</w:t>
            </w:r>
          </w:p>
        </w:tc>
      </w:tr>
      <w:tr w:rsidR="00210EFA" w:rsidRPr="00DF5BC2" w:rsidTr="00FD36A0">
        <w:trPr>
          <w:jc w:val="center"/>
        </w:trPr>
        <w:tc>
          <w:tcPr>
            <w:cnfStyle w:val="001000000000" w:firstRow="0" w:lastRow="0" w:firstColumn="1" w:lastColumn="0" w:oddVBand="0" w:evenVBand="0" w:oddHBand="0" w:evenHBand="0" w:firstRowFirstColumn="0" w:firstRowLastColumn="0" w:lastRowFirstColumn="0" w:lastRowLastColumn="0"/>
            <w:tcW w:w="1129" w:type="dxa"/>
            <w:vAlign w:val="bottom"/>
          </w:tcPr>
          <w:p w:rsidR="00210EFA" w:rsidRPr="00DF5BC2" w:rsidRDefault="00210EFA" w:rsidP="00FD36A0">
            <w:pPr>
              <w:spacing w:before="0" w:after="0" w:line="240" w:lineRule="auto"/>
              <w:rPr>
                <w:rFonts w:asciiTheme="minorHAnsi" w:hAnsiTheme="minorHAnsi"/>
                <w:color w:val="000000"/>
                <w:sz w:val="16"/>
                <w:szCs w:val="16"/>
              </w:rPr>
            </w:pPr>
            <w:r>
              <w:rPr>
                <w:rFonts w:asciiTheme="minorHAnsi" w:hAnsiTheme="minorHAnsi"/>
                <w:color w:val="000000"/>
                <w:sz w:val="16"/>
                <w:szCs w:val="16"/>
              </w:rPr>
              <w:t>2016</w:t>
            </w:r>
          </w:p>
        </w:tc>
        <w:tc>
          <w:tcPr>
            <w:tcW w:w="2362" w:type="dxa"/>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17</w:t>
            </w:r>
          </w:p>
        </w:tc>
        <w:tc>
          <w:tcPr>
            <w:tcW w:w="2362" w:type="dxa"/>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104</w:t>
            </w:r>
          </w:p>
        </w:tc>
        <w:tc>
          <w:tcPr>
            <w:tcW w:w="2363" w:type="dxa"/>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r>
              <w:rPr>
                <w:rFonts w:asciiTheme="minorHAnsi" w:hAnsiTheme="minorHAnsi"/>
                <w:spacing w:val="0"/>
                <w:sz w:val="16"/>
                <w:szCs w:val="16"/>
                <w:lang w:bidi="ar-SA"/>
              </w:rPr>
              <w:t>34</w:t>
            </w:r>
          </w:p>
        </w:tc>
      </w:tr>
      <w:tr w:rsidR="00210EFA" w:rsidRPr="00DF5BC2" w:rsidTr="00FD36A0">
        <w:trPr>
          <w:jc w:val="center"/>
        </w:trPr>
        <w:tc>
          <w:tcPr>
            <w:cnfStyle w:val="001000000000" w:firstRow="0" w:lastRow="0" w:firstColumn="1" w:lastColumn="0" w:oddVBand="0" w:evenVBand="0" w:oddHBand="0" w:evenHBand="0" w:firstRowFirstColumn="0" w:firstRowLastColumn="0" w:lastRowFirstColumn="0" w:lastRowLastColumn="0"/>
            <w:tcW w:w="1129" w:type="dxa"/>
            <w:vAlign w:val="bottom"/>
          </w:tcPr>
          <w:p w:rsidR="00210EFA" w:rsidRDefault="00210EFA" w:rsidP="00FD36A0">
            <w:pPr>
              <w:spacing w:before="0" w:after="0" w:line="240" w:lineRule="auto"/>
              <w:rPr>
                <w:rFonts w:asciiTheme="minorHAnsi" w:hAnsiTheme="minorHAnsi"/>
                <w:color w:val="000000"/>
                <w:sz w:val="16"/>
                <w:szCs w:val="16"/>
              </w:rPr>
            </w:pPr>
            <w:r>
              <w:rPr>
                <w:rFonts w:asciiTheme="minorHAnsi" w:hAnsiTheme="minorHAnsi"/>
                <w:color w:val="000000"/>
                <w:sz w:val="16"/>
                <w:szCs w:val="16"/>
              </w:rPr>
              <w:t>2017</w:t>
            </w:r>
          </w:p>
        </w:tc>
        <w:tc>
          <w:tcPr>
            <w:tcW w:w="2362" w:type="dxa"/>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p>
        </w:tc>
        <w:tc>
          <w:tcPr>
            <w:tcW w:w="2362" w:type="dxa"/>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p>
        </w:tc>
        <w:tc>
          <w:tcPr>
            <w:tcW w:w="2363" w:type="dxa"/>
          </w:tcPr>
          <w:p w:rsidR="00210EFA" w:rsidRDefault="00210EFA" w:rsidP="00FD36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pacing w:val="0"/>
                <w:sz w:val="16"/>
                <w:szCs w:val="16"/>
                <w:lang w:bidi="ar-SA"/>
              </w:rPr>
            </w:pPr>
          </w:p>
        </w:tc>
      </w:tr>
    </w:tbl>
    <w:p w:rsidR="00210EFA" w:rsidRDefault="00210EFA" w:rsidP="00210EFA">
      <w:pPr>
        <w:spacing w:before="0" w:after="0" w:line="240" w:lineRule="auto"/>
        <w:rPr>
          <w:sz w:val="18"/>
          <w:szCs w:val="18"/>
        </w:rPr>
      </w:pPr>
      <w:r w:rsidRPr="00472EFC">
        <w:rPr>
          <w:sz w:val="18"/>
          <w:szCs w:val="18"/>
        </w:rPr>
        <w:t xml:space="preserve">Zdroj: </w:t>
      </w:r>
      <w:r w:rsidRPr="002A6B49">
        <w:rPr>
          <w:sz w:val="18"/>
          <w:szCs w:val="18"/>
        </w:rPr>
        <w:t xml:space="preserve">Obvodní oddělení Policie ČR </w:t>
      </w:r>
      <w:r>
        <w:rPr>
          <w:sz w:val="18"/>
          <w:szCs w:val="18"/>
        </w:rPr>
        <w:t>Ostrov</w:t>
      </w:r>
    </w:p>
    <w:p w:rsidR="00210EFA" w:rsidRDefault="00210EFA" w:rsidP="006B3F05">
      <w:pPr>
        <w:spacing w:before="0" w:after="120"/>
        <w:rPr>
          <w:rFonts w:asciiTheme="minorHAnsi" w:hAnsiTheme="minorHAnsi" w:cs="Arial-ItalicMT"/>
          <w:b/>
          <w:bCs/>
          <w:iCs/>
          <w:color w:val="372C74"/>
          <w:spacing w:val="10"/>
          <w:sz w:val="18"/>
          <w:szCs w:val="22"/>
        </w:rPr>
      </w:pPr>
    </w:p>
    <w:p w:rsidR="006B3F05" w:rsidRDefault="006B3F05" w:rsidP="006B3F05">
      <w:pPr>
        <w:spacing w:before="0" w:after="120"/>
        <w:rPr>
          <w:rFonts w:asciiTheme="minorHAnsi" w:hAnsiTheme="minorHAnsi" w:cs="Arial-ItalicMT"/>
          <w:iCs/>
          <w:sz w:val="18"/>
          <w:szCs w:val="18"/>
        </w:rPr>
      </w:pPr>
      <w:bookmarkStart w:id="138" w:name="_Toc516059043"/>
      <w:r w:rsidRPr="00684E79">
        <w:rPr>
          <w:rFonts w:asciiTheme="minorHAnsi" w:hAnsiTheme="minorHAnsi" w:cs="Arial-ItalicMT"/>
          <w:b/>
          <w:bCs/>
          <w:iCs/>
          <w:color w:val="372C74"/>
          <w:spacing w:val="10"/>
          <w:sz w:val="18"/>
          <w:szCs w:val="22"/>
        </w:rPr>
        <w:lastRenderedPageBreak/>
        <w:t xml:space="preserve">Tabulka č. </w:t>
      </w:r>
      <w:r w:rsidR="005B55A2" w:rsidRPr="00684E79">
        <w:rPr>
          <w:rFonts w:asciiTheme="minorHAnsi" w:hAnsiTheme="minorHAnsi" w:cs="Arial-ItalicMT"/>
          <w:b/>
          <w:bCs/>
          <w:iCs/>
          <w:color w:val="372C74"/>
          <w:spacing w:val="10"/>
          <w:sz w:val="18"/>
          <w:szCs w:val="22"/>
        </w:rPr>
        <w:fldChar w:fldCharType="begin"/>
      </w:r>
      <w:r w:rsidRPr="00684E79">
        <w:rPr>
          <w:rFonts w:asciiTheme="minorHAnsi" w:hAnsiTheme="minorHAnsi" w:cs="Arial-ItalicMT"/>
          <w:b/>
          <w:bCs/>
          <w:iCs/>
          <w:color w:val="372C74"/>
          <w:spacing w:val="10"/>
          <w:sz w:val="18"/>
          <w:szCs w:val="22"/>
        </w:rPr>
        <w:instrText xml:space="preserve"> SEQ Tabulka_č._ \* ARABIC </w:instrText>
      </w:r>
      <w:r w:rsidR="005B55A2" w:rsidRPr="00684E79">
        <w:rPr>
          <w:rFonts w:asciiTheme="minorHAnsi" w:hAnsiTheme="minorHAnsi" w:cs="Arial-ItalicMT"/>
          <w:b/>
          <w:bCs/>
          <w:iCs/>
          <w:color w:val="372C74"/>
          <w:spacing w:val="10"/>
          <w:sz w:val="18"/>
          <w:szCs w:val="22"/>
        </w:rPr>
        <w:fldChar w:fldCharType="separate"/>
      </w:r>
      <w:r w:rsidR="008B1F18">
        <w:rPr>
          <w:rFonts w:asciiTheme="minorHAnsi" w:hAnsiTheme="minorHAnsi" w:cs="Arial-ItalicMT"/>
          <w:b/>
          <w:bCs/>
          <w:iCs/>
          <w:noProof/>
          <w:color w:val="372C74"/>
          <w:spacing w:val="10"/>
          <w:sz w:val="18"/>
          <w:szCs w:val="22"/>
        </w:rPr>
        <w:t>34</w:t>
      </w:r>
      <w:r w:rsidR="005B55A2" w:rsidRPr="00684E79">
        <w:rPr>
          <w:rFonts w:asciiTheme="minorHAnsi" w:hAnsiTheme="minorHAnsi" w:cs="Arial-ItalicMT"/>
          <w:b/>
          <w:bCs/>
          <w:iCs/>
          <w:color w:val="372C74"/>
          <w:spacing w:val="10"/>
          <w:sz w:val="18"/>
          <w:szCs w:val="22"/>
        </w:rPr>
        <w:fldChar w:fldCharType="end"/>
      </w:r>
      <w:r w:rsidRPr="00684E79">
        <w:rPr>
          <w:rFonts w:asciiTheme="minorHAnsi" w:hAnsiTheme="minorHAnsi" w:cs="Arial-ItalicMT"/>
          <w:iCs/>
          <w:sz w:val="18"/>
          <w:szCs w:val="18"/>
        </w:rPr>
        <w:t xml:space="preserve"> </w:t>
      </w:r>
      <w:r w:rsidR="00EB6652">
        <w:rPr>
          <w:rFonts w:asciiTheme="minorHAnsi" w:hAnsiTheme="minorHAnsi" w:cs="Arial-ItalicMT"/>
          <w:iCs/>
          <w:sz w:val="18"/>
          <w:szCs w:val="18"/>
        </w:rPr>
        <w:t>–</w:t>
      </w:r>
      <w:r w:rsidRPr="00684E79">
        <w:rPr>
          <w:rFonts w:asciiTheme="minorHAnsi" w:hAnsiTheme="minorHAnsi" w:cs="Arial-ItalicMT"/>
          <w:iCs/>
          <w:sz w:val="18"/>
          <w:szCs w:val="18"/>
        </w:rPr>
        <w:t xml:space="preserve"> </w:t>
      </w:r>
      <w:r w:rsidR="00EB6652">
        <w:rPr>
          <w:rFonts w:asciiTheme="minorHAnsi" w:hAnsiTheme="minorHAnsi" w:cs="Arial-ItalicMT"/>
          <w:iCs/>
          <w:sz w:val="18"/>
          <w:szCs w:val="18"/>
        </w:rPr>
        <w:t>Kriminální činy spáchané v</w:t>
      </w:r>
      <w:r w:rsidR="00210EFA">
        <w:rPr>
          <w:rFonts w:asciiTheme="minorHAnsi" w:hAnsiTheme="minorHAnsi" w:cs="Arial-ItalicMT"/>
          <w:iCs/>
          <w:sz w:val="18"/>
          <w:szCs w:val="18"/>
        </w:rPr>
        <w:t> letech 2014 až 2017</w:t>
      </w:r>
      <w:r w:rsidR="00EB6652">
        <w:rPr>
          <w:rFonts w:asciiTheme="minorHAnsi" w:hAnsiTheme="minorHAnsi" w:cs="Arial-ItalicMT"/>
          <w:iCs/>
          <w:sz w:val="18"/>
          <w:szCs w:val="18"/>
        </w:rPr>
        <w:t xml:space="preserve"> v Karlovarském kraji a v </w:t>
      </w:r>
      <w:r w:rsidRPr="006B3F05">
        <w:rPr>
          <w:rFonts w:asciiTheme="minorHAnsi" w:hAnsiTheme="minorHAnsi" w:cs="Arial-ItalicMT"/>
          <w:iCs/>
          <w:sz w:val="18"/>
          <w:szCs w:val="18"/>
        </w:rPr>
        <w:t xml:space="preserve">k.ú. města </w:t>
      </w:r>
      <w:r w:rsidR="00EC315A">
        <w:rPr>
          <w:rFonts w:asciiTheme="minorHAnsi" w:hAnsiTheme="minorHAnsi" w:cs="Arial-ItalicMT"/>
          <w:iCs/>
          <w:sz w:val="18"/>
          <w:szCs w:val="18"/>
        </w:rPr>
        <w:t>Ostrov</w:t>
      </w:r>
      <w:bookmarkEnd w:id="138"/>
    </w:p>
    <w:p w:rsidR="00CD691C" w:rsidRDefault="005E3C59" w:rsidP="006B3F05">
      <w:pPr>
        <w:spacing w:before="0" w:after="120"/>
        <w:rPr>
          <w:rFonts w:asciiTheme="minorHAnsi" w:hAnsiTheme="minorHAnsi" w:cs="Arial-ItalicMT"/>
          <w:iCs/>
          <w:sz w:val="18"/>
          <w:szCs w:val="18"/>
        </w:rPr>
      </w:pPr>
      <w:r w:rsidRPr="005E3C59">
        <w:rPr>
          <w:noProof/>
          <w:szCs w:val="18"/>
          <w:lang w:eastAsia="cs-CZ" w:bidi="ar-SA"/>
        </w:rPr>
        <w:drawing>
          <wp:inline distT="0" distB="0" distL="0" distR="0">
            <wp:extent cx="5555132" cy="5747434"/>
            <wp:effectExtent l="19050" t="0" r="7468" b="0"/>
            <wp:docPr id="1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5560845" cy="5753345"/>
                    </a:xfrm>
                    <a:prstGeom prst="rect">
                      <a:avLst/>
                    </a:prstGeom>
                    <a:noFill/>
                    <a:ln w="9525">
                      <a:noFill/>
                      <a:miter lim="800000"/>
                      <a:headEnd/>
                      <a:tailEnd/>
                    </a:ln>
                  </pic:spPr>
                </pic:pic>
              </a:graphicData>
            </a:graphic>
          </wp:inline>
        </w:drawing>
      </w:r>
    </w:p>
    <w:p w:rsidR="00EB6652" w:rsidRDefault="00EB6652" w:rsidP="00EB6652">
      <w:pPr>
        <w:spacing w:before="0" w:after="0" w:line="240" w:lineRule="auto"/>
        <w:rPr>
          <w:sz w:val="18"/>
          <w:szCs w:val="18"/>
        </w:rPr>
      </w:pPr>
      <w:r w:rsidRPr="00472EFC">
        <w:rPr>
          <w:sz w:val="18"/>
          <w:szCs w:val="18"/>
        </w:rPr>
        <w:t xml:space="preserve">Zdroj: </w:t>
      </w:r>
      <w:r w:rsidRPr="002A6B49">
        <w:rPr>
          <w:sz w:val="18"/>
          <w:szCs w:val="18"/>
        </w:rPr>
        <w:t xml:space="preserve">Obvodní oddělení Policie ČR </w:t>
      </w:r>
      <w:r>
        <w:rPr>
          <w:sz w:val="18"/>
          <w:szCs w:val="18"/>
        </w:rPr>
        <w:t>Ostrov</w:t>
      </w:r>
      <w:r w:rsidR="005E3C59">
        <w:rPr>
          <w:sz w:val="18"/>
          <w:szCs w:val="18"/>
        </w:rPr>
        <w:t>; KŘP Karlovy Vary</w:t>
      </w:r>
    </w:p>
    <w:p w:rsidR="00213E10" w:rsidRDefault="00213E10" w:rsidP="00213E10">
      <w:pPr>
        <w:autoSpaceDE w:val="0"/>
        <w:autoSpaceDN w:val="0"/>
        <w:adjustRightInd w:val="0"/>
        <w:spacing w:before="0" w:after="0" w:line="240" w:lineRule="auto"/>
        <w:jc w:val="left"/>
        <w:rPr>
          <w:rFonts w:ascii="Times New Roman" w:hAnsi="Times New Roman"/>
          <w:spacing w:val="0"/>
          <w:sz w:val="24"/>
          <w:szCs w:val="24"/>
          <w:lang w:bidi="ar-SA"/>
        </w:rPr>
      </w:pPr>
    </w:p>
    <w:p w:rsidR="00772577" w:rsidRDefault="00772577">
      <w:pPr>
        <w:spacing w:before="0" w:after="0" w:line="240" w:lineRule="auto"/>
        <w:jc w:val="left"/>
        <w:rPr>
          <w:sz w:val="24"/>
          <w:szCs w:val="24"/>
        </w:rPr>
      </w:pPr>
      <w:r>
        <w:rPr>
          <w:szCs w:val="24"/>
        </w:rPr>
        <w:br w:type="page"/>
      </w:r>
    </w:p>
    <w:p w:rsidR="009E47EB" w:rsidRDefault="009E47EB" w:rsidP="009E47EB">
      <w:pPr>
        <w:pStyle w:val="Nadpis4"/>
        <w:pBdr>
          <w:top w:val="none" w:sz="0" w:space="0" w:color="auto"/>
          <w:left w:val="none" w:sz="0" w:space="0" w:color="auto"/>
        </w:pBdr>
        <w:shd w:val="clear" w:color="auto" w:fill="372C74"/>
        <w:spacing w:before="0" w:after="200"/>
        <w:ind w:firstLine="0"/>
        <w:rPr>
          <w:color w:val="auto"/>
          <w:spacing w:val="4"/>
          <w:szCs w:val="24"/>
        </w:rPr>
      </w:pPr>
      <w:bookmarkStart w:id="139" w:name="_Toc516058336"/>
      <w:r w:rsidRPr="00FB73DB">
        <w:rPr>
          <w:color w:val="auto"/>
          <w:spacing w:val="4"/>
          <w:szCs w:val="24"/>
        </w:rPr>
        <w:lastRenderedPageBreak/>
        <w:t>IV. Vnější vztahy a vazby</w:t>
      </w:r>
      <w:bookmarkEnd w:id="139"/>
      <w:r w:rsidRPr="00FB73DB">
        <w:rPr>
          <w:color w:val="auto"/>
          <w:spacing w:val="4"/>
          <w:szCs w:val="24"/>
        </w:rPr>
        <w:t xml:space="preserve"> </w:t>
      </w:r>
    </w:p>
    <w:p w:rsidR="00C27356" w:rsidRDefault="00C27356" w:rsidP="00C27356">
      <w:r>
        <w:t>Město Ostrov je dlouhodobě členem několika subjektů v rámci kterých spolupracuje s jinými městy nebo na jejichž projektech se podílí</w:t>
      </w:r>
      <w:r w:rsidR="00480C13">
        <w:t>, např.:</w:t>
      </w:r>
    </w:p>
    <w:p w:rsidR="00480C13" w:rsidRDefault="00C27356" w:rsidP="00480C13">
      <w:pPr>
        <w:pStyle w:val="Odstavecseseznamem"/>
        <w:numPr>
          <w:ilvl w:val="0"/>
          <w:numId w:val="8"/>
        </w:numPr>
      </w:pPr>
      <w:r>
        <w:t xml:space="preserve">Svaz měst a obcí ČR, </w:t>
      </w:r>
    </w:p>
    <w:p w:rsidR="00C27356" w:rsidRDefault="00C27356" w:rsidP="00480C13">
      <w:pPr>
        <w:pStyle w:val="Odstavecseseznamem"/>
        <w:numPr>
          <w:ilvl w:val="0"/>
          <w:numId w:val="8"/>
        </w:numPr>
      </w:pPr>
      <w:r>
        <w:t xml:space="preserve">Místní akční skupina Krušné hory, </w:t>
      </w:r>
    </w:p>
    <w:p w:rsidR="00C27356" w:rsidRDefault="00C27356" w:rsidP="00C27356">
      <w:pPr>
        <w:rPr>
          <w:rFonts w:asciiTheme="majorHAnsi" w:hAnsiTheme="majorHAnsi"/>
        </w:rPr>
      </w:pPr>
      <w:r w:rsidRPr="00023606">
        <w:rPr>
          <w:rFonts w:asciiTheme="majorHAnsi" w:hAnsiTheme="majorHAnsi"/>
        </w:rPr>
        <w:t xml:space="preserve">MAS </w:t>
      </w:r>
      <w:r>
        <w:rPr>
          <w:rFonts w:asciiTheme="majorHAnsi" w:hAnsiTheme="majorHAnsi"/>
        </w:rPr>
        <w:t xml:space="preserve">Krušné hory má </w:t>
      </w:r>
      <w:r w:rsidRPr="00023606">
        <w:rPr>
          <w:rFonts w:asciiTheme="majorHAnsi" w:hAnsiTheme="majorHAnsi"/>
        </w:rPr>
        <w:t xml:space="preserve">pro město </w:t>
      </w:r>
      <w:r>
        <w:rPr>
          <w:rFonts w:asciiTheme="majorHAnsi" w:hAnsiTheme="majorHAnsi"/>
        </w:rPr>
        <w:t>Ostrov</w:t>
      </w:r>
      <w:r w:rsidRPr="00023606">
        <w:rPr>
          <w:rFonts w:asciiTheme="majorHAnsi" w:hAnsiTheme="majorHAnsi"/>
        </w:rPr>
        <w:t xml:space="preserve"> a současně pro dalších </w:t>
      </w:r>
      <w:r>
        <w:rPr>
          <w:rFonts w:asciiTheme="majorHAnsi" w:hAnsiTheme="majorHAnsi"/>
        </w:rPr>
        <w:t>25</w:t>
      </w:r>
      <w:r w:rsidRPr="00023606">
        <w:rPr>
          <w:rFonts w:asciiTheme="majorHAnsi" w:hAnsiTheme="majorHAnsi"/>
        </w:rPr>
        <w:t xml:space="preserve"> obcí </w:t>
      </w:r>
      <w:r>
        <w:rPr>
          <w:rFonts w:asciiTheme="majorHAnsi" w:hAnsiTheme="majorHAnsi"/>
        </w:rPr>
        <w:t xml:space="preserve">zpracovanou </w:t>
      </w:r>
      <w:r w:rsidRPr="00D84291">
        <w:rPr>
          <w:rFonts w:asciiTheme="majorHAnsi" w:hAnsiTheme="majorHAnsi"/>
        </w:rPr>
        <w:t>Strategi</w:t>
      </w:r>
      <w:r>
        <w:rPr>
          <w:rFonts w:asciiTheme="majorHAnsi" w:hAnsiTheme="majorHAnsi"/>
        </w:rPr>
        <w:t>i</w:t>
      </w:r>
      <w:r w:rsidRPr="00D84291">
        <w:rPr>
          <w:rFonts w:asciiTheme="majorHAnsi" w:hAnsiTheme="majorHAnsi"/>
        </w:rPr>
        <w:t xml:space="preserve"> komunitně vedeného místního rozvoje MAS </w:t>
      </w:r>
      <w:r>
        <w:rPr>
          <w:rFonts w:asciiTheme="majorHAnsi" w:hAnsiTheme="majorHAnsi"/>
        </w:rPr>
        <w:t>Krušné hory</w:t>
      </w:r>
      <w:r w:rsidRPr="00D84291">
        <w:rPr>
          <w:rFonts w:asciiTheme="majorHAnsi" w:hAnsiTheme="majorHAnsi"/>
        </w:rPr>
        <w:t xml:space="preserve"> pro období 2014–2020</w:t>
      </w:r>
      <w:r>
        <w:rPr>
          <w:rFonts w:asciiTheme="majorHAnsi" w:hAnsiTheme="majorHAnsi"/>
        </w:rPr>
        <w:t>, v níž jsou definovány oblasti spolupráce na projektech v rámci místní akční skupiny.</w:t>
      </w:r>
    </w:p>
    <w:p w:rsidR="00C27356" w:rsidRDefault="00C27356" w:rsidP="00C27356">
      <w:pPr>
        <w:rPr>
          <w:rFonts w:asciiTheme="majorHAnsi" w:hAnsiTheme="majorHAnsi"/>
        </w:rPr>
      </w:pPr>
      <w:bookmarkStart w:id="140" w:name="_Toc516059009"/>
      <w:r w:rsidRPr="00F42013">
        <w:rPr>
          <w:rFonts w:cs="Arial-ItalicMT" w:hint="eastAsia"/>
          <w:b/>
          <w:bCs/>
          <w:iCs/>
          <w:color w:val="372C74"/>
          <w:spacing w:val="10"/>
          <w:sz w:val="18"/>
          <w:szCs w:val="22"/>
        </w:rPr>
        <w:t xml:space="preserve">Obrázek č. </w:t>
      </w:r>
      <w:r w:rsidR="005B55A2" w:rsidRPr="00F42013">
        <w:rPr>
          <w:rFonts w:cs="Arial-ItalicMT"/>
          <w:b/>
          <w:bCs/>
          <w:iCs/>
          <w:color w:val="372C74"/>
          <w:spacing w:val="10"/>
          <w:sz w:val="18"/>
          <w:szCs w:val="22"/>
        </w:rPr>
        <w:fldChar w:fldCharType="begin"/>
      </w:r>
      <w:r w:rsidRPr="00F42013">
        <w:rPr>
          <w:rFonts w:cs="Arial-ItalicMT" w:hint="eastAsia"/>
          <w:b/>
          <w:bCs/>
          <w:iCs/>
          <w:color w:val="372C74"/>
          <w:spacing w:val="10"/>
          <w:sz w:val="18"/>
          <w:szCs w:val="22"/>
        </w:rPr>
        <w:instrText xml:space="preserve"> SEQ Obrázek_č._ \* ARABIC </w:instrText>
      </w:r>
      <w:r w:rsidR="005B55A2" w:rsidRPr="00F42013">
        <w:rPr>
          <w:rFonts w:cs="Arial-ItalicMT"/>
          <w:b/>
          <w:bCs/>
          <w:iCs/>
          <w:color w:val="372C74"/>
          <w:spacing w:val="10"/>
          <w:sz w:val="18"/>
          <w:szCs w:val="22"/>
        </w:rPr>
        <w:fldChar w:fldCharType="separate"/>
      </w:r>
      <w:r w:rsidR="008B1F18">
        <w:rPr>
          <w:rFonts w:cs="Arial-ItalicMT"/>
          <w:b/>
          <w:bCs/>
          <w:iCs/>
          <w:noProof/>
          <w:color w:val="372C74"/>
          <w:spacing w:val="10"/>
          <w:sz w:val="18"/>
          <w:szCs w:val="22"/>
        </w:rPr>
        <w:t>44</w:t>
      </w:r>
      <w:r w:rsidR="005B55A2" w:rsidRPr="00F42013">
        <w:rPr>
          <w:rFonts w:cs="Arial-ItalicMT"/>
          <w:b/>
          <w:bCs/>
          <w:iCs/>
          <w:color w:val="372C74"/>
          <w:spacing w:val="10"/>
          <w:sz w:val="18"/>
          <w:szCs w:val="22"/>
        </w:rPr>
        <w:fldChar w:fldCharType="end"/>
      </w:r>
      <w:r>
        <w:rPr>
          <w:rFonts w:asciiTheme="majorHAnsi" w:hAnsiTheme="majorHAnsi"/>
        </w:rPr>
        <w:t>–</w:t>
      </w:r>
      <w:r w:rsidRPr="00F039B5">
        <w:rPr>
          <w:rFonts w:asciiTheme="majorHAnsi" w:hAnsiTheme="majorHAnsi"/>
        </w:rPr>
        <w:t xml:space="preserve"> </w:t>
      </w:r>
      <w:r>
        <w:rPr>
          <w:rFonts w:asciiTheme="majorHAnsi" w:hAnsiTheme="majorHAnsi"/>
        </w:rPr>
        <w:t>MAS Krušné hory</w:t>
      </w:r>
      <w:bookmarkEnd w:id="140"/>
    </w:p>
    <w:p w:rsidR="00C27356" w:rsidRDefault="00C27356" w:rsidP="00C27356">
      <w:pPr>
        <w:rPr>
          <w:rFonts w:asciiTheme="majorHAnsi" w:hAnsiTheme="majorHAnsi"/>
          <w:sz w:val="16"/>
          <w:szCs w:val="16"/>
        </w:rPr>
      </w:pPr>
      <w:r>
        <w:rPr>
          <w:noProof/>
          <w:lang w:eastAsia="cs-CZ" w:bidi="ar-SA"/>
        </w:rPr>
        <w:drawing>
          <wp:inline distT="0" distB="0" distL="0" distR="0">
            <wp:extent cx="3543507" cy="2940711"/>
            <wp:effectExtent l="19050" t="0" r="0" b="0"/>
            <wp:docPr id="5" name="obrázek 5" descr="http://files.mas-krusnehory.cz/system_preview_detail_200001475-839b184954/MAS_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iles.mas-krusnehory.cz/system_preview_detail_200001475-839b184954/MAS_mapa.jpg"/>
                    <pic:cNvPicPr>
                      <a:picLocks noChangeAspect="1" noChangeArrowheads="1"/>
                    </pic:cNvPicPr>
                  </pic:nvPicPr>
                  <pic:blipFill>
                    <a:blip r:embed="rId63"/>
                    <a:srcRect t="7559" b="10079"/>
                    <a:stretch>
                      <a:fillRect/>
                    </a:stretch>
                  </pic:blipFill>
                  <pic:spPr bwMode="auto">
                    <a:xfrm>
                      <a:off x="0" y="0"/>
                      <a:ext cx="3561109" cy="2955318"/>
                    </a:xfrm>
                    <a:prstGeom prst="rect">
                      <a:avLst/>
                    </a:prstGeom>
                    <a:noFill/>
                    <a:ln w="9525">
                      <a:noFill/>
                      <a:miter lim="800000"/>
                      <a:headEnd/>
                      <a:tailEnd/>
                    </a:ln>
                  </pic:spPr>
                </pic:pic>
              </a:graphicData>
            </a:graphic>
          </wp:inline>
        </w:drawing>
      </w:r>
      <w:r w:rsidRPr="00F039B5">
        <w:t xml:space="preserve"> </w:t>
      </w:r>
      <w:r w:rsidRPr="00F039B5">
        <w:rPr>
          <w:rFonts w:asciiTheme="majorHAnsi" w:hAnsiTheme="majorHAnsi"/>
          <w:sz w:val="16"/>
          <w:szCs w:val="16"/>
        </w:rPr>
        <w:t xml:space="preserve">Zdroj: </w:t>
      </w:r>
      <w:hyperlink r:id="rId64" w:history="1">
        <w:r w:rsidRPr="009C66AC">
          <w:rPr>
            <w:rStyle w:val="Hypertextovodkaz"/>
            <w:rFonts w:asciiTheme="majorHAnsi" w:hAnsiTheme="majorHAnsi"/>
            <w:sz w:val="16"/>
            <w:szCs w:val="16"/>
          </w:rPr>
          <w:t>http://www.mas-krusnehory.cz/</w:t>
        </w:r>
      </w:hyperlink>
    </w:p>
    <w:p w:rsidR="00480C13" w:rsidRDefault="00480C13" w:rsidP="00480C13">
      <w:r>
        <w:t>Město Ostrov postupně zavádí způsoby zapojování veřejnosti do rozhodování o věcech veřejných a postupuje v naplňování principu místní Agendy 21 v souladu s principy udržitelného rozvoje.</w:t>
      </w:r>
    </w:p>
    <w:p w:rsidR="00AB7502" w:rsidRDefault="00AB7502" w:rsidP="00A376FD">
      <w:pPr>
        <w:spacing w:before="120" w:after="120"/>
        <w:rPr>
          <w:rFonts w:asciiTheme="majorHAnsi" w:hAnsiTheme="majorHAnsi"/>
        </w:rPr>
      </w:pPr>
    </w:p>
    <w:p w:rsidR="00E66863" w:rsidRDefault="00E66863" w:rsidP="00A376FD">
      <w:pPr>
        <w:spacing w:before="120" w:after="120"/>
        <w:rPr>
          <w:rFonts w:asciiTheme="majorHAnsi" w:hAnsiTheme="majorHAnsi"/>
        </w:rPr>
      </w:pPr>
    </w:p>
    <w:p w:rsidR="00E66863" w:rsidRDefault="00E66863" w:rsidP="00A376FD">
      <w:pPr>
        <w:spacing w:before="120" w:after="120"/>
        <w:rPr>
          <w:rFonts w:asciiTheme="majorHAnsi" w:hAnsiTheme="majorHAnsi"/>
        </w:rPr>
      </w:pPr>
    </w:p>
    <w:p w:rsidR="00E66863" w:rsidRDefault="00E66863" w:rsidP="00A376FD">
      <w:pPr>
        <w:spacing w:before="120" w:after="120"/>
        <w:rPr>
          <w:rFonts w:asciiTheme="majorHAnsi" w:hAnsiTheme="majorHAnsi"/>
        </w:rPr>
      </w:pPr>
    </w:p>
    <w:p w:rsidR="00E66863" w:rsidRDefault="00E66863" w:rsidP="00A376FD">
      <w:pPr>
        <w:spacing w:before="120" w:after="120"/>
        <w:rPr>
          <w:rFonts w:asciiTheme="majorHAnsi" w:hAnsiTheme="majorHAnsi"/>
        </w:rPr>
      </w:pPr>
    </w:p>
    <w:p w:rsidR="00E66863" w:rsidRDefault="00E66863" w:rsidP="00A376FD">
      <w:pPr>
        <w:spacing w:before="120" w:after="120"/>
        <w:rPr>
          <w:rFonts w:asciiTheme="majorHAnsi" w:hAnsiTheme="majorHAnsi"/>
        </w:rPr>
      </w:pPr>
    </w:p>
    <w:p w:rsidR="00E66863" w:rsidRDefault="00E66863" w:rsidP="00A376FD">
      <w:pPr>
        <w:spacing w:before="120" w:after="120"/>
        <w:rPr>
          <w:rFonts w:asciiTheme="majorHAnsi" w:hAnsiTheme="majorHAnsi"/>
        </w:rPr>
      </w:pPr>
    </w:p>
    <w:p w:rsidR="00E66863" w:rsidRPr="004A3E24" w:rsidRDefault="00E66863" w:rsidP="00A376FD">
      <w:pPr>
        <w:spacing w:before="120" w:after="120"/>
        <w:rPr>
          <w:rFonts w:asciiTheme="majorHAnsi" w:hAnsiTheme="majorHAnsi"/>
        </w:rPr>
      </w:pPr>
    </w:p>
    <w:tbl>
      <w:tblPr>
        <w:tblW w:w="0" w:type="auto"/>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ook w:val="04A0" w:firstRow="1" w:lastRow="0" w:firstColumn="1" w:lastColumn="0" w:noHBand="0" w:noVBand="1"/>
      </w:tblPr>
      <w:tblGrid>
        <w:gridCol w:w="675"/>
        <w:gridCol w:w="4051"/>
        <w:gridCol w:w="627"/>
        <w:gridCol w:w="4099"/>
      </w:tblGrid>
      <w:tr w:rsidR="0094602B" w:rsidRPr="00253E29" w:rsidTr="00155DC6">
        <w:tc>
          <w:tcPr>
            <w:tcW w:w="9452" w:type="dxa"/>
            <w:gridSpan w:val="4"/>
            <w:tcBorders>
              <w:top w:val="single" w:sz="12" w:space="0" w:color="372C74"/>
              <w:left w:val="single" w:sz="12" w:space="0" w:color="372C74"/>
              <w:bottom w:val="single" w:sz="4" w:space="0" w:color="auto"/>
              <w:right w:val="single" w:sz="12" w:space="0" w:color="372C74"/>
              <w:tl2br w:val="nil"/>
              <w:tr2bl w:val="nil"/>
            </w:tcBorders>
            <w:shd w:val="clear" w:color="auto" w:fill="372C74"/>
            <w:vAlign w:val="center"/>
          </w:tcPr>
          <w:p w:rsidR="0094602B" w:rsidRPr="00053817" w:rsidRDefault="0094602B" w:rsidP="00155DC6">
            <w:pPr>
              <w:autoSpaceDE w:val="0"/>
              <w:autoSpaceDN w:val="0"/>
              <w:adjustRightInd w:val="0"/>
              <w:spacing w:before="0" w:after="0" w:line="240" w:lineRule="auto"/>
              <w:rPr>
                <w:b/>
                <w:lang w:bidi="ar-SA"/>
              </w:rPr>
            </w:pPr>
            <w:r w:rsidRPr="00053817">
              <w:rPr>
                <w:b/>
                <w:lang w:bidi="ar-SA"/>
              </w:rPr>
              <w:lastRenderedPageBreak/>
              <w:t>Shrnutí hlavních pozitivních a negativních charakteristik a očekávaných trendů v oblasti</w:t>
            </w:r>
          </w:p>
          <w:p w:rsidR="0094602B" w:rsidRPr="00053817" w:rsidRDefault="0094602B" w:rsidP="00155DC6">
            <w:pPr>
              <w:autoSpaceDE w:val="0"/>
              <w:autoSpaceDN w:val="0"/>
              <w:adjustRightInd w:val="0"/>
              <w:spacing w:before="0" w:after="0" w:line="240" w:lineRule="auto"/>
              <w:jc w:val="center"/>
              <w:rPr>
                <w:rFonts w:cs="Arial-ItalicMT"/>
                <w:b/>
                <w:iCs/>
                <w:szCs w:val="22"/>
              </w:rPr>
            </w:pPr>
            <w:r>
              <w:rPr>
                <w:b/>
                <w:lang w:bidi="ar-SA"/>
              </w:rPr>
              <w:t>Správa města</w:t>
            </w:r>
          </w:p>
        </w:tc>
      </w:tr>
      <w:tr w:rsidR="0094602B" w:rsidTr="00155DC6">
        <w:tc>
          <w:tcPr>
            <w:tcW w:w="675" w:type="dxa"/>
            <w:tcBorders>
              <w:top w:val="single" w:sz="4" w:space="0" w:color="auto"/>
              <w:left w:val="single" w:sz="4" w:space="0" w:color="auto"/>
              <w:bottom w:val="single" w:sz="4" w:space="0" w:color="auto"/>
              <w:right w:val="nil"/>
              <w:tl2br w:val="nil"/>
              <w:tr2bl w:val="nil"/>
            </w:tcBorders>
            <w:shd w:val="clear" w:color="auto" w:fill="DDE9EC"/>
            <w:vAlign w:val="center"/>
          </w:tcPr>
          <w:p w:rsidR="0094602B" w:rsidRPr="00053817" w:rsidRDefault="0094602B" w:rsidP="00155DC6">
            <w:pPr>
              <w:autoSpaceDE w:val="0"/>
              <w:autoSpaceDN w:val="0"/>
              <w:adjustRightInd w:val="0"/>
              <w:spacing w:before="60" w:after="60" w:line="240" w:lineRule="auto"/>
              <w:jc w:val="center"/>
              <w:rPr>
                <w:rFonts w:ascii="Arial Black" w:hAnsi="Arial Black" w:cs="Arial-ItalicMT"/>
                <w:b/>
                <w:iCs/>
                <w:color w:val="00B050"/>
                <w:szCs w:val="22"/>
              </w:rPr>
            </w:pPr>
            <w:r w:rsidRPr="00053817">
              <w:rPr>
                <w:rFonts w:ascii="Arial Black" w:hAnsi="Arial Black" w:cs="Arial-ItalicMT"/>
                <w:b/>
                <w:iCs/>
                <w:color w:val="00B050"/>
                <w:sz w:val="40"/>
                <w:szCs w:val="40"/>
              </w:rPr>
              <w:t>+</w:t>
            </w:r>
          </w:p>
        </w:tc>
        <w:tc>
          <w:tcPr>
            <w:tcW w:w="4051" w:type="dxa"/>
            <w:tcBorders>
              <w:top w:val="single" w:sz="4" w:space="0" w:color="auto"/>
              <w:left w:val="nil"/>
              <w:bottom w:val="single" w:sz="4" w:space="0" w:color="auto"/>
              <w:right w:val="single" w:sz="4" w:space="0" w:color="auto"/>
            </w:tcBorders>
            <w:shd w:val="clear" w:color="auto" w:fill="DDE9EC"/>
          </w:tcPr>
          <w:p w:rsidR="00E05AEE" w:rsidRDefault="004E20F7" w:rsidP="006164A0">
            <w:pPr>
              <w:pStyle w:val="Odstavecseseznamem"/>
              <w:numPr>
                <w:ilvl w:val="0"/>
                <w:numId w:val="1"/>
              </w:numPr>
              <w:autoSpaceDE w:val="0"/>
              <w:autoSpaceDN w:val="0"/>
              <w:adjustRightInd w:val="0"/>
              <w:spacing w:before="60" w:after="60" w:line="240" w:lineRule="auto"/>
              <w:ind w:left="318" w:hanging="426"/>
              <w:jc w:val="left"/>
              <w:rPr>
                <w:rFonts w:cs="Arial-ItalicMT"/>
                <w:iCs/>
                <w:szCs w:val="22"/>
              </w:rPr>
            </w:pPr>
            <w:r>
              <w:rPr>
                <w:rFonts w:cs="Arial-ItalicMT"/>
                <w:iCs/>
                <w:szCs w:val="22"/>
              </w:rPr>
              <w:t>F</w:t>
            </w:r>
            <w:r w:rsidRPr="004E20F7">
              <w:rPr>
                <w:rFonts w:cs="Arial-ItalicMT"/>
                <w:iCs/>
                <w:szCs w:val="22"/>
              </w:rPr>
              <w:t>inanční zdraví města a odpovědný rozpočet</w:t>
            </w:r>
          </w:p>
          <w:p w:rsidR="001D5F71" w:rsidRPr="00EA62F6" w:rsidRDefault="001D5F71" w:rsidP="006164A0">
            <w:pPr>
              <w:pStyle w:val="Odstavecseseznamem"/>
              <w:numPr>
                <w:ilvl w:val="0"/>
                <w:numId w:val="1"/>
              </w:numPr>
              <w:autoSpaceDE w:val="0"/>
              <w:autoSpaceDN w:val="0"/>
              <w:adjustRightInd w:val="0"/>
              <w:spacing w:before="60" w:after="60" w:line="240" w:lineRule="auto"/>
              <w:ind w:left="318" w:hanging="426"/>
              <w:jc w:val="left"/>
              <w:rPr>
                <w:rFonts w:cs="Arial-ItalicMT"/>
                <w:iCs/>
                <w:szCs w:val="22"/>
              </w:rPr>
            </w:pPr>
            <w:r>
              <w:rPr>
                <w:rFonts w:cs="Arial-ItalicMT"/>
                <w:iCs/>
                <w:szCs w:val="22"/>
              </w:rPr>
              <w:t>Funkční a realistický územní plán města.</w:t>
            </w:r>
          </w:p>
        </w:tc>
        <w:tc>
          <w:tcPr>
            <w:tcW w:w="627" w:type="dxa"/>
            <w:tcBorders>
              <w:top w:val="single" w:sz="4" w:space="0" w:color="auto"/>
              <w:left w:val="single" w:sz="4" w:space="0" w:color="auto"/>
              <w:bottom w:val="single" w:sz="4" w:space="0" w:color="auto"/>
              <w:right w:val="nil"/>
            </w:tcBorders>
            <w:shd w:val="clear" w:color="auto" w:fill="DDE9EC"/>
            <w:vAlign w:val="center"/>
          </w:tcPr>
          <w:p w:rsidR="0094602B" w:rsidRPr="00053817" w:rsidRDefault="0094602B" w:rsidP="00155DC6">
            <w:pPr>
              <w:autoSpaceDE w:val="0"/>
              <w:autoSpaceDN w:val="0"/>
              <w:adjustRightInd w:val="0"/>
              <w:spacing w:before="60" w:after="60" w:line="240" w:lineRule="auto"/>
              <w:jc w:val="center"/>
              <w:rPr>
                <w:rFonts w:cs="Arial-ItalicMT"/>
                <w:iCs/>
                <w:color w:val="FF0000"/>
                <w:sz w:val="40"/>
                <w:szCs w:val="40"/>
              </w:rPr>
            </w:pPr>
            <w:r w:rsidRPr="00053817">
              <w:rPr>
                <w:rFonts w:ascii="Arial Black" w:hAnsi="Arial Black" w:cs="Arial-ItalicMT"/>
                <w:b/>
                <w:iCs/>
                <w:color w:val="FF0000"/>
                <w:sz w:val="40"/>
                <w:szCs w:val="40"/>
              </w:rPr>
              <w:t>-</w:t>
            </w:r>
          </w:p>
        </w:tc>
        <w:tc>
          <w:tcPr>
            <w:tcW w:w="4099" w:type="dxa"/>
            <w:tcBorders>
              <w:top w:val="single" w:sz="4" w:space="0" w:color="auto"/>
              <w:left w:val="nil"/>
              <w:bottom w:val="single" w:sz="4" w:space="0" w:color="auto"/>
              <w:right w:val="single" w:sz="4" w:space="0" w:color="auto"/>
            </w:tcBorders>
            <w:shd w:val="clear" w:color="auto" w:fill="DDE9EC"/>
          </w:tcPr>
          <w:p w:rsidR="00DF2AE6" w:rsidRPr="009D03F4" w:rsidRDefault="00F44D78" w:rsidP="006164A0">
            <w:pPr>
              <w:pStyle w:val="Odstavecseseznamem"/>
              <w:numPr>
                <w:ilvl w:val="0"/>
                <w:numId w:val="2"/>
              </w:numPr>
              <w:autoSpaceDE w:val="0"/>
              <w:autoSpaceDN w:val="0"/>
              <w:adjustRightInd w:val="0"/>
              <w:spacing w:before="60" w:after="60" w:line="240" w:lineRule="auto"/>
              <w:ind w:left="317" w:hanging="425"/>
              <w:jc w:val="left"/>
              <w:rPr>
                <w:rFonts w:cs="Arial-ItalicMT"/>
                <w:iCs/>
                <w:szCs w:val="22"/>
              </w:rPr>
            </w:pPr>
            <w:r>
              <w:rPr>
                <w:rFonts w:asciiTheme="majorHAnsi" w:hAnsiTheme="majorHAnsi" w:cs="Arial-ItalicMT"/>
                <w:iCs/>
                <w:szCs w:val="22"/>
              </w:rPr>
              <w:t>Absence koncepce obnovy a reprodukce majetku města</w:t>
            </w:r>
            <w:r w:rsidR="004E20F7">
              <w:rPr>
                <w:rFonts w:asciiTheme="majorHAnsi" w:hAnsiTheme="majorHAnsi" w:cs="Arial-ItalicMT"/>
                <w:iCs/>
                <w:szCs w:val="22"/>
              </w:rPr>
              <w:t>.</w:t>
            </w:r>
          </w:p>
          <w:p w:rsidR="00E66863" w:rsidRDefault="00E66863" w:rsidP="00E66863">
            <w:pPr>
              <w:pStyle w:val="Odstavecseseznamem"/>
              <w:numPr>
                <w:ilvl w:val="0"/>
                <w:numId w:val="2"/>
              </w:numPr>
              <w:autoSpaceDE w:val="0"/>
              <w:autoSpaceDN w:val="0"/>
              <w:adjustRightInd w:val="0"/>
              <w:spacing w:before="60" w:after="60" w:line="240" w:lineRule="auto"/>
              <w:ind w:left="317" w:hanging="425"/>
              <w:jc w:val="left"/>
              <w:rPr>
                <w:rFonts w:cs="Arial-ItalicMT"/>
                <w:iCs/>
                <w:szCs w:val="22"/>
              </w:rPr>
            </w:pPr>
            <w:r>
              <w:rPr>
                <w:rFonts w:cs="Arial-ItalicMT"/>
                <w:iCs/>
                <w:szCs w:val="22"/>
              </w:rPr>
              <w:t>Nízká sociální tolerance</w:t>
            </w:r>
            <w:r w:rsidRPr="004F06EA">
              <w:rPr>
                <w:rFonts w:cs="Arial-ItalicMT"/>
                <w:iCs/>
                <w:szCs w:val="22"/>
              </w:rPr>
              <w:t xml:space="preserve"> </w:t>
            </w:r>
            <w:r>
              <w:rPr>
                <w:rFonts w:cs="Arial-ItalicMT"/>
                <w:iCs/>
                <w:szCs w:val="22"/>
              </w:rPr>
              <w:t>odlišných skupin</w:t>
            </w:r>
            <w:r w:rsidRPr="004F06EA">
              <w:rPr>
                <w:rFonts w:cs="Arial-ItalicMT"/>
                <w:iCs/>
                <w:szCs w:val="22"/>
              </w:rPr>
              <w:t xml:space="preserve"> populace</w:t>
            </w:r>
          </w:p>
          <w:p w:rsidR="009D03F4" w:rsidRPr="005843D8" w:rsidRDefault="00E66863" w:rsidP="00E66863">
            <w:pPr>
              <w:pStyle w:val="Odstavecseseznamem"/>
              <w:numPr>
                <w:ilvl w:val="0"/>
                <w:numId w:val="2"/>
              </w:numPr>
              <w:autoSpaceDE w:val="0"/>
              <w:autoSpaceDN w:val="0"/>
              <w:adjustRightInd w:val="0"/>
              <w:spacing w:before="60" w:after="60" w:line="240" w:lineRule="auto"/>
              <w:ind w:left="317" w:hanging="425"/>
              <w:jc w:val="left"/>
              <w:rPr>
                <w:rFonts w:cs="Arial-ItalicMT"/>
                <w:iCs/>
                <w:szCs w:val="22"/>
              </w:rPr>
            </w:pPr>
            <w:r>
              <w:rPr>
                <w:rFonts w:cs="Arial-ItalicMT"/>
                <w:iCs/>
                <w:szCs w:val="22"/>
              </w:rPr>
              <w:t>Narůstající kriminalita mládeže</w:t>
            </w:r>
          </w:p>
        </w:tc>
      </w:tr>
      <w:tr w:rsidR="0094602B" w:rsidTr="00155DC6">
        <w:tc>
          <w:tcPr>
            <w:tcW w:w="9452" w:type="dxa"/>
            <w:gridSpan w:val="4"/>
            <w:tcBorders>
              <w:top w:val="nil"/>
              <w:left w:val="single" w:sz="4" w:space="0" w:color="auto"/>
              <w:bottom w:val="single" w:sz="4" w:space="0" w:color="auto"/>
              <w:right w:val="single" w:sz="4" w:space="0" w:color="auto"/>
              <w:tl2br w:val="nil"/>
              <w:tr2bl w:val="nil"/>
            </w:tcBorders>
            <w:shd w:val="clear" w:color="auto" w:fill="DDE9EC"/>
            <w:vAlign w:val="center"/>
          </w:tcPr>
          <w:p w:rsidR="0094602B" w:rsidRDefault="0094602B" w:rsidP="00155DC6">
            <w:pPr>
              <w:autoSpaceDE w:val="0"/>
              <w:autoSpaceDN w:val="0"/>
              <w:adjustRightInd w:val="0"/>
              <w:spacing w:before="60" w:after="60" w:line="240" w:lineRule="auto"/>
              <w:rPr>
                <w:rFonts w:cs="Arial-ItalicMT"/>
                <w:iCs/>
                <w:color w:val="372C74"/>
                <w:szCs w:val="22"/>
              </w:rPr>
            </w:pPr>
            <w:r>
              <w:rPr>
                <w:rFonts w:cs="Arial-ItalicMT"/>
                <w:iCs/>
                <w:color w:val="372C74"/>
                <w:szCs w:val="22"/>
              </w:rPr>
              <w:t>Komentář:</w:t>
            </w:r>
          </w:p>
          <w:p w:rsidR="00E66863" w:rsidRDefault="00E66863" w:rsidP="00E66863">
            <w:pPr>
              <w:autoSpaceDE w:val="0"/>
              <w:autoSpaceDN w:val="0"/>
              <w:adjustRightInd w:val="0"/>
              <w:spacing w:before="60" w:after="60" w:line="240" w:lineRule="auto"/>
              <w:rPr>
                <w:rFonts w:cs="Arial-ItalicMT"/>
                <w:iCs/>
                <w:color w:val="372C74"/>
                <w:szCs w:val="22"/>
              </w:rPr>
            </w:pPr>
            <w:r>
              <w:rPr>
                <w:rFonts w:cs="Arial-ItalicMT"/>
                <w:iCs/>
                <w:color w:val="372C74"/>
                <w:szCs w:val="22"/>
              </w:rPr>
              <w:t>Pozitivní stav financí města dává předpoklad pro případný ambiciózní rozvojový projekt s podporou ESIF. Ovšem i bez případných dotací je město schopno zajišťovat potřebnou údržbu a obnovu svého majetku.</w:t>
            </w:r>
          </w:p>
          <w:p w:rsidR="00E66863" w:rsidRDefault="00E66863" w:rsidP="00E66863">
            <w:pPr>
              <w:autoSpaceDE w:val="0"/>
              <w:autoSpaceDN w:val="0"/>
              <w:adjustRightInd w:val="0"/>
              <w:spacing w:before="60" w:after="60" w:line="240" w:lineRule="auto"/>
              <w:rPr>
                <w:rFonts w:cs="Arial-ItalicMT"/>
                <w:iCs/>
                <w:color w:val="372C74"/>
                <w:szCs w:val="22"/>
              </w:rPr>
            </w:pPr>
            <w:r>
              <w:rPr>
                <w:rFonts w:cs="Arial-ItalicMT"/>
                <w:iCs/>
                <w:color w:val="372C74"/>
                <w:szCs w:val="22"/>
              </w:rPr>
              <w:t>V oblasti pořádku a pocitu bezpečí ve městě stojí před správou města velká výzva. Koncentrací obyvatel, kteří svůj životní styl jen těžko přizpůsobují stylu běžnému u převažující části populace v určitých částech města vznikla situace, kdy tyto lokality jsou obecně vnímány jako rizikové. Objektivně tento pocit potvrzují i údaje o narůstající kriminalitě nezletilých a mladistvých.</w:t>
            </w:r>
          </w:p>
          <w:p w:rsidR="00E05AEE" w:rsidRPr="00E05AEE" w:rsidRDefault="00E66863" w:rsidP="00E66863">
            <w:pPr>
              <w:autoSpaceDE w:val="0"/>
              <w:autoSpaceDN w:val="0"/>
              <w:adjustRightInd w:val="0"/>
              <w:spacing w:before="60" w:after="60" w:line="240" w:lineRule="auto"/>
              <w:rPr>
                <w:rFonts w:asciiTheme="majorHAnsi" w:hAnsiTheme="majorHAnsi" w:cs="Arial-ItalicMT"/>
                <w:iCs/>
                <w:color w:val="372C74"/>
                <w:szCs w:val="22"/>
              </w:rPr>
            </w:pPr>
            <w:r>
              <w:rPr>
                <w:rFonts w:cs="Arial-ItalicMT"/>
                <w:iCs/>
                <w:color w:val="372C74"/>
                <w:szCs w:val="22"/>
              </w:rPr>
              <w:t>Navíc se ve městě vytvářejí další oblasti, kde se množí konflikty mezi skupinami obyvatel města a případným přílivem pracovních sil ze zahraničí by se tyto konflikty mohly dále rozrůstat.</w:t>
            </w:r>
          </w:p>
        </w:tc>
      </w:tr>
    </w:tbl>
    <w:p w:rsidR="00480C13" w:rsidRDefault="00480C13" w:rsidP="00480C13">
      <w:pPr>
        <w:rPr>
          <w:color w:val="1B1639"/>
          <w:spacing w:val="15"/>
          <w:sz w:val="24"/>
          <w:szCs w:val="22"/>
        </w:rPr>
      </w:pPr>
      <w:r>
        <w:br w:type="page"/>
      </w:r>
    </w:p>
    <w:p w:rsidR="00852234" w:rsidRDefault="0058716F" w:rsidP="0035225A">
      <w:pPr>
        <w:pStyle w:val="Nadpis3"/>
        <w:spacing w:line="240" w:lineRule="auto"/>
      </w:pPr>
      <w:bookmarkStart w:id="141" w:name="_Toc516058337"/>
      <w:r>
        <w:lastRenderedPageBreak/>
        <w:t>P</w:t>
      </w:r>
      <w:r w:rsidR="0035225A">
        <w:t>.</w:t>
      </w:r>
      <w:r w:rsidR="00852234">
        <w:t>1</w:t>
      </w:r>
      <w:r w:rsidR="0035225A">
        <w:t>.</w:t>
      </w:r>
      <w:r w:rsidR="00852234">
        <w:t>8</w:t>
      </w:r>
      <w:r w:rsidR="0035225A" w:rsidRPr="005F0699">
        <w:t xml:space="preserve"> </w:t>
      </w:r>
      <w:r w:rsidR="00852234">
        <w:t>Vnější prostředí</w:t>
      </w:r>
      <w:bookmarkEnd w:id="141"/>
    </w:p>
    <w:p w:rsidR="003A0A12" w:rsidRDefault="003A0A12" w:rsidP="00E66863">
      <w:pPr>
        <w:spacing w:after="120"/>
      </w:pPr>
      <w:r>
        <w:t>Vedle vnitřních faktorů, které jsou specifické pro území v němž je strategie realizována a které lze do jisté míry ovlivnit realizací strategie ovlivnit, je třeba reflektovat i vnější faktory, které mohou mít jak pozitivní, tak i negativní vliv na realizaci strategického plánu. Obvyklým nástrojem pro analýzu vnějšího prostředí je tzv. PESTLE analýza.</w:t>
      </w:r>
    </w:p>
    <w:p w:rsidR="00CA56E1" w:rsidRPr="002804D1" w:rsidRDefault="002804D1" w:rsidP="002804D1">
      <w:pPr>
        <w:pStyle w:val="Nadpis4"/>
        <w:pBdr>
          <w:top w:val="none" w:sz="0" w:space="0" w:color="auto"/>
          <w:left w:val="none" w:sz="0" w:space="0" w:color="auto"/>
        </w:pBdr>
        <w:shd w:val="clear" w:color="auto" w:fill="372C74"/>
        <w:spacing w:before="0" w:after="200"/>
        <w:ind w:firstLine="0"/>
        <w:rPr>
          <w:color w:val="auto"/>
          <w:spacing w:val="4"/>
          <w:szCs w:val="24"/>
        </w:rPr>
      </w:pPr>
      <w:bookmarkStart w:id="142" w:name="_Toc516058338"/>
      <w:r>
        <w:rPr>
          <w:color w:val="auto"/>
          <w:spacing w:val="4"/>
          <w:szCs w:val="24"/>
        </w:rPr>
        <w:t xml:space="preserve">I. </w:t>
      </w:r>
      <w:r w:rsidR="00CA56E1" w:rsidRPr="002804D1">
        <w:rPr>
          <w:color w:val="auto"/>
          <w:spacing w:val="4"/>
          <w:szCs w:val="24"/>
        </w:rPr>
        <w:t>Politické prostředí</w:t>
      </w:r>
      <w:bookmarkEnd w:id="142"/>
    </w:p>
    <w:p w:rsidR="00CA56E1" w:rsidRDefault="00CA56E1" w:rsidP="00E66863">
      <w:pPr>
        <w:spacing w:after="120"/>
      </w:pPr>
      <w:r>
        <w:t>Česká republika je definována jako parlamentní demokracie. Jde o členský stát Evropské unie s poměrně vysokou stabilitou institucí a zastupitelského systému. Vztahy orgánů státní moci s místními samosprávami jsou určeny Ústavou České republiky, přičemž stát může do samosprávy obcí zasahovat výhradně prostřednictvím zákonů. Rovněž deleguje na obce část výkonu státní správy. V dohledné době nelze očekávat změnu politického či volebního systému, jak na úrovní místní, tak na celostátní.</w:t>
      </w:r>
    </w:p>
    <w:p w:rsidR="00CA56E1" w:rsidRPr="002804D1" w:rsidRDefault="002804D1" w:rsidP="002804D1">
      <w:pPr>
        <w:pStyle w:val="Nadpis4"/>
        <w:pBdr>
          <w:top w:val="none" w:sz="0" w:space="0" w:color="auto"/>
          <w:left w:val="none" w:sz="0" w:space="0" w:color="auto"/>
        </w:pBdr>
        <w:shd w:val="clear" w:color="auto" w:fill="372C74"/>
        <w:spacing w:before="0" w:after="200"/>
        <w:ind w:firstLine="0"/>
        <w:rPr>
          <w:color w:val="auto"/>
          <w:spacing w:val="4"/>
          <w:szCs w:val="24"/>
        </w:rPr>
      </w:pPr>
      <w:bookmarkStart w:id="143" w:name="_Toc516058339"/>
      <w:r>
        <w:rPr>
          <w:color w:val="auto"/>
          <w:spacing w:val="4"/>
          <w:szCs w:val="24"/>
        </w:rPr>
        <w:t xml:space="preserve">II. </w:t>
      </w:r>
      <w:r w:rsidR="00CA56E1" w:rsidRPr="002804D1">
        <w:rPr>
          <w:color w:val="auto"/>
          <w:spacing w:val="4"/>
          <w:szCs w:val="24"/>
        </w:rPr>
        <w:t>Ekonomické prostředí</w:t>
      </w:r>
      <w:bookmarkEnd w:id="143"/>
    </w:p>
    <w:p w:rsidR="00CA56E1" w:rsidRPr="00E459C5" w:rsidRDefault="00CA56E1" w:rsidP="00E66863">
      <w:pPr>
        <w:spacing w:after="120"/>
      </w:pPr>
      <w:r w:rsidRPr="00F65DBA">
        <w:t>V České republice existuje tržní ekonomika a heterogen</w:t>
      </w:r>
      <w:r>
        <w:t>ita</w:t>
      </w:r>
      <w:r w:rsidRPr="00F65DBA">
        <w:t xml:space="preserve"> ekonomické</w:t>
      </w:r>
      <w:r>
        <w:t>ho</w:t>
      </w:r>
      <w:r w:rsidRPr="00F65DBA">
        <w:t xml:space="preserve"> prostředí, kter</w:t>
      </w:r>
      <w:r>
        <w:t>á</w:t>
      </w:r>
      <w:r w:rsidRPr="00F65DBA">
        <w:t xml:space="preserve"> se projevuje jak na úrovni celostátní, tak na úrovni regionální a lokální. Předností a zároveň rizikem je mimořádná otevřenost české ekonomiky.</w:t>
      </w:r>
      <w:r>
        <w:t xml:space="preserve"> Z hlediska průměrné míry nezaměstnanosti je situace </w:t>
      </w:r>
      <w:r w:rsidR="00072923">
        <w:t xml:space="preserve">ve </w:t>
      </w:r>
      <w:r w:rsidR="00EC315A">
        <w:t>Karlovar</w:t>
      </w:r>
      <w:r w:rsidR="00072923">
        <w:t xml:space="preserve">ském kraji a konkrétně </w:t>
      </w:r>
      <w:r w:rsidR="00EC315A">
        <w:t>SO ORO Ostrov</w:t>
      </w:r>
      <w:r w:rsidR="00072923">
        <w:t xml:space="preserve"> </w:t>
      </w:r>
      <w:r w:rsidRPr="008D5322">
        <w:t>blízká průměru ČR a zlepšuje se.</w:t>
      </w:r>
      <w:r w:rsidR="008D5322">
        <w:t xml:space="preserve"> Konkrétně v</w:t>
      </w:r>
      <w:r w:rsidR="00EC315A">
        <w:t xml:space="preserve"> Ostrově se předběžně předpokládá </w:t>
      </w:r>
      <w:r w:rsidR="007778D5">
        <w:t xml:space="preserve">nezaměstnanost </w:t>
      </w:r>
      <w:r w:rsidR="008D5322">
        <w:t xml:space="preserve">s hodnotou </w:t>
      </w:r>
      <w:r w:rsidR="00296941">
        <w:t xml:space="preserve">3,9 </w:t>
      </w:r>
      <w:r w:rsidR="008D5322">
        <w:t>%.</w:t>
      </w:r>
      <w:r>
        <w:t xml:space="preserve"> V souvislosti s demografickými trendy však dochází rychlejšímu poklesu podílu ekonomi</w:t>
      </w:r>
      <w:r w:rsidR="00726E25">
        <w:t>cky aktivních obyvatel</w:t>
      </w:r>
      <w:r>
        <w:t>. Pozitivní je probíhající proměna struktury zaměstnanosti, kdy dochází k ústupu z výrobních odvětví ve prospěch služeb.</w:t>
      </w:r>
    </w:p>
    <w:p w:rsidR="00CA56E1" w:rsidRPr="002804D1" w:rsidRDefault="002804D1" w:rsidP="002804D1">
      <w:pPr>
        <w:pStyle w:val="Nadpis4"/>
        <w:pBdr>
          <w:top w:val="none" w:sz="0" w:space="0" w:color="auto"/>
          <w:left w:val="none" w:sz="0" w:space="0" w:color="auto"/>
        </w:pBdr>
        <w:shd w:val="clear" w:color="auto" w:fill="372C74"/>
        <w:spacing w:before="0" w:after="200"/>
        <w:ind w:firstLine="0"/>
        <w:rPr>
          <w:color w:val="auto"/>
          <w:spacing w:val="4"/>
          <w:szCs w:val="24"/>
        </w:rPr>
      </w:pPr>
      <w:bookmarkStart w:id="144" w:name="_Toc516058340"/>
      <w:r>
        <w:rPr>
          <w:color w:val="auto"/>
          <w:spacing w:val="4"/>
          <w:szCs w:val="24"/>
        </w:rPr>
        <w:t xml:space="preserve">III. </w:t>
      </w:r>
      <w:r w:rsidR="00CA56E1" w:rsidRPr="002804D1">
        <w:rPr>
          <w:color w:val="auto"/>
          <w:spacing w:val="4"/>
          <w:szCs w:val="24"/>
        </w:rPr>
        <w:t>Sociální prostředí</w:t>
      </w:r>
      <w:bookmarkEnd w:id="144"/>
    </w:p>
    <w:p w:rsidR="00726E25" w:rsidRDefault="00CA56E1" w:rsidP="00E66863">
      <w:pPr>
        <w:spacing w:after="120"/>
      </w:pPr>
      <w:r>
        <w:t xml:space="preserve">Z demografického hlediska bude budoucí vývoj silně ovlivněn současnými trendy (mj. stárnutí populace, migrace), které však mají nadregionální povahu a dotýkají se i České republiky a Evropské unie. V případě stárnutí populace je však tento proces v posledních dvaceti letech výrazně rychlejší než na celostátní úrovni. Předpokládá se, že se v budoucnosti stane hlavním faktorem vývoje absolutního počtu obyvatel v jednotlivých regionech migrační saldo. Na základě demografické projekce Českého statistického úřadu dojde (za předpokladu nulové migrace) k úbytku počtu obyvatel, a to do roku </w:t>
      </w:r>
      <w:r w:rsidRPr="00FB2DD5">
        <w:t>2030 o 5 % a do roku 20</w:t>
      </w:r>
      <w:r w:rsidR="00FB2DD5" w:rsidRPr="00FB2DD5">
        <w:t xml:space="preserve">50 téměř </w:t>
      </w:r>
      <w:r w:rsidRPr="00FB2DD5">
        <w:t>o 1</w:t>
      </w:r>
      <w:r w:rsidR="00FB2DD5" w:rsidRPr="00FB2DD5">
        <w:t>6</w:t>
      </w:r>
      <w:r w:rsidRPr="00FB2DD5">
        <w:t xml:space="preserve"> %,</w:t>
      </w:r>
      <w:r>
        <w:t xml:space="preserve"> především v důsledku již zmíněného stárnutí populace. </w:t>
      </w:r>
    </w:p>
    <w:p w:rsidR="00CA56E1" w:rsidRDefault="00CA56E1" w:rsidP="00E66863">
      <w:pPr>
        <w:spacing w:after="120"/>
      </w:pPr>
      <w:r>
        <w:t>Vzdělávání provázejí na lokální, regionální i celostátní úrovni bariéry, mezi něž patří například nesoulad mezi požadavkem trhu práce a nabídkou pracovních sil, respektive strukturou studijních oborů. V mezinárodním srovnání je možno české školství charakterizovat jako finančně zanedbávané. Lze očekávat pokračování existujícího trendu změn ve vzdělanostní struktuře (ovšem vzhledem ke slabým populačním ročníkům v nejmladší generaci pomalejší), s akcentem na zvyšování podílu osob s vysokoškolským vzděláním. Rovněž tak je možné předpokládat růst vlivu obcí na podobě základního a středního školství.</w:t>
      </w:r>
    </w:p>
    <w:p w:rsidR="00CA56E1" w:rsidRPr="002804D1" w:rsidRDefault="002804D1" w:rsidP="002804D1">
      <w:pPr>
        <w:pStyle w:val="Nadpis4"/>
        <w:pBdr>
          <w:top w:val="none" w:sz="0" w:space="0" w:color="auto"/>
          <w:left w:val="none" w:sz="0" w:space="0" w:color="auto"/>
        </w:pBdr>
        <w:shd w:val="clear" w:color="auto" w:fill="372C74"/>
        <w:spacing w:before="0" w:after="200"/>
        <w:ind w:firstLine="0"/>
        <w:rPr>
          <w:color w:val="auto"/>
          <w:spacing w:val="4"/>
          <w:szCs w:val="24"/>
        </w:rPr>
      </w:pPr>
      <w:bookmarkStart w:id="145" w:name="_Toc516058341"/>
      <w:r>
        <w:rPr>
          <w:color w:val="auto"/>
          <w:spacing w:val="4"/>
          <w:szCs w:val="24"/>
        </w:rPr>
        <w:lastRenderedPageBreak/>
        <w:t xml:space="preserve">IV. </w:t>
      </w:r>
      <w:r w:rsidR="00CA56E1" w:rsidRPr="002804D1">
        <w:rPr>
          <w:color w:val="auto"/>
          <w:spacing w:val="4"/>
          <w:szCs w:val="24"/>
        </w:rPr>
        <w:t>Technické a technologické prostředí</w:t>
      </w:r>
      <w:bookmarkEnd w:id="145"/>
    </w:p>
    <w:p w:rsidR="00CA56E1" w:rsidRPr="00E7665F" w:rsidRDefault="00CA56E1" w:rsidP="00CA56E1">
      <w:pPr>
        <w:spacing w:before="120"/>
      </w:pPr>
      <w:r w:rsidRPr="00E7665F">
        <w:t>V České republice existuje nevyužitý potenciál v oblasti inovační</w:t>
      </w:r>
      <w:r>
        <w:t>ch</w:t>
      </w:r>
      <w:r w:rsidRPr="00E7665F">
        <w:t xml:space="preserve"> aktivit v soukromé sféře, technologickém transferu, soukromých výdajích na výzkum a vývoj, ve využití kooperačního potenciálu, ve využití rizikového kapitálu, spolupráci soukromé sféry s vývojem apod. V uplynulých </w:t>
      </w:r>
      <w:r>
        <w:t xml:space="preserve">dvaceti </w:t>
      </w:r>
      <w:r w:rsidRPr="00E7665F">
        <w:t xml:space="preserve">letech došlo k výraznému navýšení podpory vědy a výzkumu, avšak nadále chybí jasná proinovační politika na celostátní úrovni. Podnětem k rozvoji technologických odvětví je mimo jiné podpora ze strukturálních fondů Evropské unie. Na lokální a regionální úrovni může být tento vývoj podporován například </w:t>
      </w:r>
      <w:r>
        <w:t xml:space="preserve">proinovačními opatřeními v rozvojových dokumentech krajů, resp. krajských měst, a </w:t>
      </w:r>
      <w:r w:rsidRPr="00E7665F">
        <w:t>propagací významných inovací ze strany soukromé sféry.</w:t>
      </w:r>
    </w:p>
    <w:p w:rsidR="00CA56E1" w:rsidRPr="002804D1" w:rsidRDefault="002804D1" w:rsidP="002804D1">
      <w:pPr>
        <w:pStyle w:val="Nadpis4"/>
        <w:pBdr>
          <w:top w:val="none" w:sz="0" w:space="0" w:color="auto"/>
          <w:left w:val="none" w:sz="0" w:space="0" w:color="auto"/>
        </w:pBdr>
        <w:shd w:val="clear" w:color="auto" w:fill="372C74"/>
        <w:spacing w:before="0" w:after="200"/>
        <w:ind w:firstLine="0"/>
        <w:rPr>
          <w:color w:val="auto"/>
          <w:spacing w:val="4"/>
          <w:szCs w:val="24"/>
        </w:rPr>
      </w:pPr>
      <w:bookmarkStart w:id="146" w:name="_Toc516058342"/>
      <w:r>
        <w:rPr>
          <w:color w:val="auto"/>
          <w:spacing w:val="4"/>
          <w:szCs w:val="24"/>
        </w:rPr>
        <w:t xml:space="preserve">V. </w:t>
      </w:r>
      <w:r w:rsidR="00CA56E1" w:rsidRPr="002804D1">
        <w:rPr>
          <w:color w:val="auto"/>
          <w:spacing w:val="4"/>
          <w:szCs w:val="24"/>
        </w:rPr>
        <w:t>Legislativní prostředí</w:t>
      </w:r>
      <w:bookmarkEnd w:id="146"/>
    </w:p>
    <w:p w:rsidR="00CA56E1" w:rsidRPr="00191E0C" w:rsidRDefault="00CA56E1" w:rsidP="00CA56E1">
      <w:pPr>
        <w:spacing w:before="120"/>
        <w:rPr>
          <w:spacing w:val="0"/>
        </w:rPr>
      </w:pPr>
      <w:r w:rsidRPr="00191E0C">
        <w:rPr>
          <w:spacing w:val="0"/>
        </w:rPr>
        <w:t>Právo na samosprávu obcí je zakotveno v Ústavě České republiky, konkrétně články 8 a 99 až 105, které vytváří právní základ pro existenci obcí a vyšších územních samosprávných celků, přičemž podrobněji je vymezeno zákonem č. 128/2000 Sb., o obcích. Základní normou regionální politiky je zákon č.</w:t>
      </w:r>
      <w:r>
        <w:rPr>
          <w:spacing w:val="0"/>
        </w:rPr>
        <w:t> </w:t>
      </w:r>
      <w:r w:rsidRPr="00191E0C">
        <w:rPr>
          <w:spacing w:val="0"/>
        </w:rPr>
        <w:t>248/2000</w:t>
      </w:r>
      <w:r>
        <w:rPr>
          <w:spacing w:val="0"/>
        </w:rPr>
        <w:t> </w:t>
      </w:r>
      <w:r w:rsidRPr="00191E0C">
        <w:rPr>
          <w:spacing w:val="0"/>
        </w:rPr>
        <w:t xml:space="preserve">Sb., o podpoře regionálního rozvoje, a z hlediska rozvojových procesů je důležitá </w:t>
      </w:r>
      <w:r>
        <w:rPr>
          <w:spacing w:val="0"/>
        </w:rPr>
        <w:t>také</w:t>
      </w:r>
      <w:r w:rsidRPr="00191E0C">
        <w:rPr>
          <w:spacing w:val="0"/>
        </w:rPr>
        <w:t xml:space="preserve"> Politika územního rozvoje dle zák</w:t>
      </w:r>
      <w:r>
        <w:rPr>
          <w:spacing w:val="0"/>
        </w:rPr>
        <w:t>ona</w:t>
      </w:r>
      <w:r w:rsidRPr="00191E0C">
        <w:rPr>
          <w:spacing w:val="0"/>
        </w:rPr>
        <w:t xml:space="preserve"> č. 183/2006 Sb., o územním plánování a stavebním řádu.</w:t>
      </w:r>
    </w:p>
    <w:p w:rsidR="00CA56E1" w:rsidRPr="002804D1" w:rsidRDefault="002804D1" w:rsidP="002804D1">
      <w:pPr>
        <w:pStyle w:val="Nadpis4"/>
        <w:pBdr>
          <w:top w:val="none" w:sz="0" w:space="0" w:color="auto"/>
          <w:left w:val="none" w:sz="0" w:space="0" w:color="auto"/>
        </w:pBdr>
        <w:shd w:val="clear" w:color="auto" w:fill="372C74"/>
        <w:spacing w:before="0" w:after="200"/>
        <w:ind w:firstLine="0"/>
        <w:rPr>
          <w:color w:val="auto"/>
          <w:spacing w:val="4"/>
          <w:szCs w:val="24"/>
        </w:rPr>
      </w:pPr>
      <w:bookmarkStart w:id="147" w:name="_Toc516058343"/>
      <w:r>
        <w:rPr>
          <w:color w:val="auto"/>
          <w:spacing w:val="4"/>
          <w:szCs w:val="24"/>
        </w:rPr>
        <w:t xml:space="preserve">VI. </w:t>
      </w:r>
      <w:r w:rsidR="00CA56E1" w:rsidRPr="002804D1">
        <w:rPr>
          <w:color w:val="auto"/>
          <w:spacing w:val="4"/>
          <w:szCs w:val="24"/>
        </w:rPr>
        <w:t>Environmentální prostředí</w:t>
      </w:r>
      <w:bookmarkEnd w:id="147"/>
    </w:p>
    <w:p w:rsidR="00072923" w:rsidRDefault="00CA56E1" w:rsidP="00CA56E1">
      <w:pPr>
        <w:spacing w:before="120"/>
      </w:pPr>
      <w:r>
        <w:t xml:space="preserve">Životní prostředí bylo v minulosti po dlouhou dobu decimováno lidskými aktivitami, což je na území České republiky pozorovatelné například v oblasti podkrušnohorských uhelných pánví (mj. Sokolovské). V tomto ohledu došlo k významným změnám po roce 1989, kdy byla přijata příslušná legislativa a kroky ke zkvalitnění životního prostředí. </w:t>
      </w:r>
    </w:p>
    <w:p w:rsidR="00CA56E1" w:rsidRDefault="00CA56E1" w:rsidP="00CA56E1">
      <w:pPr>
        <w:spacing w:before="120"/>
      </w:pPr>
      <w:r>
        <w:t>V současnosti je životní prostřední v</w:t>
      </w:r>
      <w:r w:rsidR="00072923">
        <w:t xml:space="preserve"> </w:t>
      </w:r>
      <w:r w:rsidR="003C564F">
        <w:t>Karlovarském</w:t>
      </w:r>
      <w:r w:rsidR="00072923">
        <w:t xml:space="preserve"> kraji v porovnání s ostatními regiony </w:t>
      </w:r>
      <w:r w:rsidR="003C564F">
        <w:t>na severu Čech a Moravy</w:t>
      </w:r>
      <w:r w:rsidR="00072923">
        <w:t xml:space="preserve"> relativně příznivé.</w:t>
      </w:r>
      <w:r>
        <w:t xml:space="preserve"> </w:t>
      </w:r>
    </w:p>
    <w:tbl>
      <w:tblPr>
        <w:tblW w:w="0" w:type="auto"/>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Look w:val="04A0" w:firstRow="1" w:lastRow="0" w:firstColumn="1" w:lastColumn="0" w:noHBand="0" w:noVBand="1"/>
      </w:tblPr>
      <w:tblGrid>
        <w:gridCol w:w="675"/>
        <w:gridCol w:w="4051"/>
        <w:gridCol w:w="627"/>
        <w:gridCol w:w="4099"/>
      </w:tblGrid>
      <w:tr w:rsidR="00CA56E1" w:rsidRPr="00253E29" w:rsidTr="00340526">
        <w:tc>
          <w:tcPr>
            <w:tcW w:w="9452" w:type="dxa"/>
            <w:gridSpan w:val="4"/>
            <w:tcBorders>
              <w:top w:val="single" w:sz="12" w:space="0" w:color="372C74"/>
              <w:left w:val="single" w:sz="12" w:space="0" w:color="372C74"/>
              <w:bottom w:val="single" w:sz="4" w:space="0" w:color="auto"/>
              <w:right w:val="single" w:sz="12" w:space="0" w:color="372C74"/>
              <w:tl2br w:val="nil"/>
              <w:tr2bl w:val="nil"/>
            </w:tcBorders>
            <w:shd w:val="clear" w:color="auto" w:fill="372C74"/>
            <w:vAlign w:val="center"/>
          </w:tcPr>
          <w:p w:rsidR="00CA56E1" w:rsidRPr="00053817" w:rsidRDefault="00CA56E1" w:rsidP="00340526">
            <w:pPr>
              <w:autoSpaceDE w:val="0"/>
              <w:autoSpaceDN w:val="0"/>
              <w:adjustRightInd w:val="0"/>
              <w:spacing w:before="0" w:after="0" w:line="240" w:lineRule="auto"/>
              <w:rPr>
                <w:b/>
                <w:lang w:bidi="ar-SA"/>
              </w:rPr>
            </w:pPr>
            <w:r w:rsidRPr="00053817">
              <w:rPr>
                <w:b/>
                <w:lang w:bidi="ar-SA"/>
              </w:rPr>
              <w:t>Shrnutí hlavních pozitivních a negativních charakteristik a očekávaných trendů v oblasti</w:t>
            </w:r>
          </w:p>
          <w:p w:rsidR="00CA56E1" w:rsidRPr="00053817" w:rsidRDefault="00726E25" w:rsidP="00340526">
            <w:pPr>
              <w:autoSpaceDE w:val="0"/>
              <w:autoSpaceDN w:val="0"/>
              <w:adjustRightInd w:val="0"/>
              <w:spacing w:before="0" w:after="0" w:line="240" w:lineRule="auto"/>
              <w:jc w:val="center"/>
              <w:rPr>
                <w:rFonts w:cs="Arial-ItalicMT"/>
                <w:b/>
                <w:iCs/>
                <w:szCs w:val="22"/>
              </w:rPr>
            </w:pPr>
            <w:r>
              <w:rPr>
                <w:b/>
                <w:lang w:bidi="ar-SA"/>
              </w:rPr>
              <w:t>Vnější prostředí</w:t>
            </w:r>
          </w:p>
        </w:tc>
      </w:tr>
      <w:tr w:rsidR="00CA56E1" w:rsidTr="00340526">
        <w:tc>
          <w:tcPr>
            <w:tcW w:w="675" w:type="dxa"/>
            <w:tcBorders>
              <w:top w:val="single" w:sz="4" w:space="0" w:color="auto"/>
              <w:left w:val="single" w:sz="4" w:space="0" w:color="auto"/>
              <w:bottom w:val="single" w:sz="4" w:space="0" w:color="auto"/>
              <w:right w:val="nil"/>
              <w:tl2br w:val="nil"/>
              <w:tr2bl w:val="nil"/>
            </w:tcBorders>
            <w:shd w:val="clear" w:color="auto" w:fill="DDE9EC"/>
            <w:vAlign w:val="center"/>
          </w:tcPr>
          <w:p w:rsidR="00CA56E1" w:rsidRPr="00053817" w:rsidRDefault="00CA56E1" w:rsidP="00340526">
            <w:pPr>
              <w:autoSpaceDE w:val="0"/>
              <w:autoSpaceDN w:val="0"/>
              <w:adjustRightInd w:val="0"/>
              <w:spacing w:before="60" w:after="60" w:line="240" w:lineRule="auto"/>
              <w:jc w:val="center"/>
              <w:rPr>
                <w:rFonts w:ascii="Arial Black" w:hAnsi="Arial Black" w:cs="Arial-ItalicMT"/>
                <w:b/>
                <w:iCs/>
                <w:color w:val="00B050"/>
                <w:szCs w:val="22"/>
              </w:rPr>
            </w:pPr>
            <w:r w:rsidRPr="00053817">
              <w:rPr>
                <w:rFonts w:ascii="Arial Black" w:hAnsi="Arial Black" w:cs="Arial-ItalicMT"/>
                <w:b/>
                <w:iCs/>
                <w:color w:val="00B050"/>
                <w:sz w:val="40"/>
                <w:szCs w:val="40"/>
              </w:rPr>
              <w:t>+</w:t>
            </w:r>
          </w:p>
        </w:tc>
        <w:tc>
          <w:tcPr>
            <w:tcW w:w="4051" w:type="dxa"/>
            <w:tcBorders>
              <w:top w:val="single" w:sz="4" w:space="0" w:color="auto"/>
              <w:left w:val="nil"/>
              <w:bottom w:val="single" w:sz="4" w:space="0" w:color="auto"/>
              <w:right w:val="single" w:sz="4" w:space="0" w:color="auto"/>
            </w:tcBorders>
            <w:shd w:val="clear" w:color="auto" w:fill="DDE9EC"/>
          </w:tcPr>
          <w:p w:rsidR="00CA56E1" w:rsidRDefault="00CA56E1" w:rsidP="006164A0">
            <w:pPr>
              <w:pStyle w:val="Odstavecseseznamem"/>
              <w:numPr>
                <w:ilvl w:val="0"/>
                <w:numId w:val="1"/>
              </w:numPr>
              <w:autoSpaceDE w:val="0"/>
              <w:autoSpaceDN w:val="0"/>
              <w:adjustRightInd w:val="0"/>
              <w:spacing w:before="60" w:after="60" w:line="240" w:lineRule="auto"/>
              <w:ind w:left="318" w:hanging="426"/>
              <w:jc w:val="left"/>
              <w:rPr>
                <w:rFonts w:cs="Arial-ItalicMT"/>
                <w:iCs/>
                <w:szCs w:val="22"/>
              </w:rPr>
            </w:pPr>
            <w:r w:rsidRPr="00053817">
              <w:rPr>
                <w:rFonts w:cs="Arial-ItalicMT"/>
                <w:iCs/>
                <w:szCs w:val="22"/>
              </w:rPr>
              <w:t>Stabilita institucí a zastupitelského systému</w:t>
            </w:r>
          </w:p>
          <w:p w:rsidR="00B8416A" w:rsidRPr="00053817" w:rsidRDefault="00B8416A" w:rsidP="006164A0">
            <w:pPr>
              <w:pStyle w:val="Odstavecseseznamem"/>
              <w:numPr>
                <w:ilvl w:val="0"/>
                <w:numId w:val="1"/>
              </w:numPr>
              <w:autoSpaceDE w:val="0"/>
              <w:autoSpaceDN w:val="0"/>
              <w:adjustRightInd w:val="0"/>
              <w:spacing w:before="60" w:after="60" w:line="240" w:lineRule="auto"/>
              <w:ind w:left="318" w:hanging="426"/>
              <w:jc w:val="left"/>
              <w:rPr>
                <w:rFonts w:cs="Arial-ItalicMT"/>
                <w:iCs/>
                <w:szCs w:val="22"/>
              </w:rPr>
            </w:pPr>
            <w:r>
              <w:rPr>
                <w:rFonts w:cs="Arial-ItalicMT"/>
                <w:iCs/>
                <w:szCs w:val="22"/>
              </w:rPr>
              <w:t>Možnost získat dotační prostředky na zvolené projekty</w:t>
            </w:r>
          </w:p>
          <w:p w:rsidR="00E66863" w:rsidRDefault="00E66863" w:rsidP="00E66863">
            <w:pPr>
              <w:pStyle w:val="Odstavecseseznamem"/>
              <w:numPr>
                <w:ilvl w:val="0"/>
                <w:numId w:val="1"/>
              </w:numPr>
              <w:autoSpaceDE w:val="0"/>
              <w:autoSpaceDN w:val="0"/>
              <w:adjustRightInd w:val="0"/>
              <w:spacing w:before="60" w:after="60" w:line="240" w:lineRule="auto"/>
              <w:ind w:left="318" w:hanging="426"/>
              <w:jc w:val="left"/>
              <w:rPr>
                <w:rFonts w:cs="Arial-ItalicMT"/>
                <w:iCs/>
                <w:szCs w:val="22"/>
              </w:rPr>
            </w:pPr>
            <w:r>
              <w:rPr>
                <w:rFonts w:cs="Arial-ItalicMT"/>
                <w:iCs/>
                <w:szCs w:val="22"/>
              </w:rPr>
              <w:t>Nízký index vnímání korupce</w:t>
            </w:r>
          </w:p>
          <w:p w:rsidR="00CA56E1" w:rsidRPr="00053817" w:rsidRDefault="00E66863" w:rsidP="00E66863">
            <w:pPr>
              <w:pStyle w:val="Odstavecseseznamem"/>
              <w:numPr>
                <w:ilvl w:val="0"/>
                <w:numId w:val="1"/>
              </w:numPr>
              <w:autoSpaceDE w:val="0"/>
              <w:autoSpaceDN w:val="0"/>
              <w:adjustRightInd w:val="0"/>
              <w:spacing w:before="60" w:after="60" w:line="240" w:lineRule="auto"/>
              <w:ind w:left="318" w:hanging="426"/>
              <w:jc w:val="left"/>
              <w:rPr>
                <w:rFonts w:cs="Arial-ItalicMT"/>
                <w:iCs/>
                <w:szCs w:val="22"/>
              </w:rPr>
            </w:pPr>
            <w:r>
              <w:rPr>
                <w:rFonts w:cs="Arial-ItalicMT"/>
                <w:iCs/>
                <w:szCs w:val="22"/>
              </w:rPr>
              <w:t>Nadstandardní spolupráce s Krajským úřadem</w:t>
            </w:r>
          </w:p>
        </w:tc>
        <w:tc>
          <w:tcPr>
            <w:tcW w:w="627" w:type="dxa"/>
            <w:tcBorders>
              <w:top w:val="single" w:sz="4" w:space="0" w:color="auto"/>
              <w:left w:val="single" w:sz="4" w:space="0" w:color="auto"/>
              <w:bottom w:val="single" w:sz="4" w:space="0" w:color="auto"/>
              <w:right w:val="nil"/>
            </w:tcBorders>
            <w:shd w:val="clear" w:color="auto" w:fill="DDE9EC"/>
            <w:vAlign w:val="center"/>
          </w:tcPr>
          <w:p w:rsidR="00CA56E1" w:rsidRPr="00053817" w:rsidRDefault="00CA56E1" w:rsidP="00340526">
            <w:pPr>
              <w:autoSpaceDE w:val="0"/>
              <w:autoSpaceDN w:val="0"/>
              <w:adjustRightInd w:val="0"/>
              <w:spacing w:before="60" w:after="60" w:line="240" w:lineRule="auto"/>
              <w:jc w:val="center"/>
              <w:rPr>
                <w:rFonts w:cs="Arial-ItalicMT"/>
                <w:iCs/>
                <w:color w:val="FF0000"/>
                <w:sz w:val="40"/>
                <w:szCs w:val="40"/>
              </w:rPr>
            </w:pPr>
            <w:r w:rsidRPr="00053817">
              <w:rPr>
                <w:rFonts w:ascii="Arial Black" w:hAnsi="Arial Black" w:cs="Arial-ItalicMT"/>
                <w:b/>
                <w:iCs/>
                <w:color w:val="FF0000"/>
                <w:sz w:val="40"/>
                <w:szCs w:val="40"/>
              </w:rPr>
              <w:t>-</w:t>
            </w:r>
          </w:p>
        </w:tc>
        <w:tc>
          <w:tcPr>
            <w:tcW w:w="4099" w:type="dxa"/>
            <w:tcBorders>
              <w:top w:val="single" w:sz="4" w:space="0" w:color="auto"/>
              <w:left w:val="nil"/>
              <w:bottom w:val="single" w:sz="4" w:space="0" w:color="auto"/>
              <w:right w:val="single" w:sz="4" w:space="0" w:color="auto"/>
            </w:tcBorders>
            <w:shd w:val="clear" w:color="auto" w:fill="DDE9EC"/>
          </w:tcPr>
          <w:p w:rsidR="00CA56E1" w:rsidRPr="00A458FF" w:rsidRDefault="004E20F7" w:rsidP="006164A0">
            <w:pPr>
              <w:pStyle w:val="Odstavecseseznamem"/>
              <w:numPr>
                <w:ilvl w:val="0"/>
                <w:numId w:val="2"/>
              </w:numPr>
              <w:autoSpaceDE w:val="0"/>
              <w:autoSpaceDN w:val="0"/>
              <w:adjustRightInd w:val="0"/>
              <w:spacing w:before="60" w:after="60" w:line="240" w:lineRule="auto"/>
              <w:ind w:left="317" w:hanging="425"/>
              <w:jc w:val="left"/>
              <w:rPr>
                <w:rFonts w:asciiTheme="majorHAnsi" w:hAnsiTheme="majorHAnsi" w:cs="Arial-ItalicMT"/>
                <w:iCs/>
                <w:szCs w:val="22"/>
              </w:rPr>
            </w:pPr>
            <w:r>
              <w:rPr>
                <w:rFonts w:asciiTheme="majorHAnsi" w:hAnsiTheme="majorHAnsi" w:cs="Arial-ItalicMT"/>
                <w:iCs/>
                <w:szCs w:val="22"/>
              </w:rPr>
              <w:t>Narůstající národnostní pestrost</w:t>
            </w:r>
            <w:r w:rsidR="00CA56E1" w:rsidRPr="00A458FF">
              <w:rPr>
                <w:rFonts w:asciiTheme="majorHAnsi" w:hAnsiTheme="majorHAnsi" w:cs="Arial-ItalicMT"/>
                <w:iCs/>
                <w:szCs w:val="22"/>
              </w:rPr>
              <w:t xml:space="preserve"> obyvatel</w:t>
            </w:r>
            <w:r>
              <w:rPr>
                <w:rFonts w:asciiTheme="majorHAnsi" w:hAnsiTheme="majorHAnsi" w:cs="Arial-ItalicMT"/>
                <w:iCs/>
                <w:szCs w:val="22"/>
              </w:rPr>
              <w:t>.</w:t>
            </w:r>
          </w:p>
          <w:p w:rsidR="00CA56E1" w:rsidRPr="00E66863" w:rsidRDefault="00CA56E1" w:rsidP="00E66863">
            <w:pPr>
              <w:autoSpaceDE w:val="0"/>
              <w:autoSpaceDN w:val="0"/>
              <w:adjustRightInd w:val="0"/>
              <w:spacing w:before="60" w:after="60" w:line="240" w:lineRule="auto"/>
              <w:ind w:left="-108"/>
              <w:jc w:val="left"/>
              <w:rPr>
                <w:rFonts w:cs="Arial-ItalicMT"/>
                <w:iCs/>
                <w:szCs w:val="22"/>
              </w:rPr>
            </w:pPr>
          </w:p>
        </w:tc>
      </w:tr>
      <w:tr w:rsidR="00CA56E1" w:rsidRPr="00901B25" w:rsidTr="00340526">
        <w:tc>
          <w:tcPr>
            <w:tcW w:w="9452" w:type="dxa"/>
            <w:gridSpan w:val="4"/>
            <w:tcBorders>
              <w:top w:val="nil"/>
              <w:left w:val="single" w:sz="4" w:space="0" w:color="auto"/>
              <w:bottom w:val="single" w:sz="4" w:space="0" w:color="auto"/>
              <w:right w:val="single" w:sz="4" w:space="0" w:color="auto"/>
              <w:tl2br w:val="nil"/>
              <w:tr2bl w:val="nil"/>
            </w:tcBorders>
            <w:shd w:val="clear" w:color="auto" w:fill="DDE9EC"/>
            <w:vAlign w:val="center"/>
          </w:tcPr>
          <w:p w:rsidR="00296941" w:rsidRDefault="00296941" w:rsidP="00340526">
            <w:pPr>
              <w:autoSpaceDE w:val="0"/>
              <w:autoSpaceDN w:val="0"/>
              <w:adjustRightInd w:val="0"/>
              <w:spacing w:before="60" w:after="60" w:line="240" w:lineRule="auto"/>
              <w:rPr>
                <w:rFonts w:cs="Arial-ItalicMT"/>
                <w:iCs/>
                <w:color w:val="372C74"/>
                <w:szCs w:val="22"/>
              </w:rPr>
            </w:pPr>
            <w:r>
              <w:rPr>
                <w:rFonts w:cs="Arial-ItalicMT"/>
                <w:iCs/>
                <w:color w:val="372C74"/>
                <w:szCs w:val="22"/>
              </w:rPr>
              <w:t>Komentář:</w:t>
            </w:r>
          </w:p>
          <w:p w:rsidR="00E66863" w:rsidRDefault="00E66863" w:rsidP="00E66863">
            <w:pPr>
              <w:autoSpaceDE w:val="0"/>
              <w:autoSpaceDN w:val="0"/>
              <w:adjustRightInd w:val="0"/>
              <w:spacing w:before="60" w:after="60" w:line="240" w:lineRule="auto"/>
              <w:rPr>
                <w:rFonts w:cs="Arial-ItalicMT"/>
                <w:iCs/>
                <w:color w:val="372C74"/>
                <w:szCs w:val="22"/>
              </w:rPr>
            </w:pPr>
            <w:r w:rsidRPr="00053817">
              <w:rPr>
                <w:rFonts w:cs="Arial-ItalicMT"/>
                <w:iCs/>
                <w:color w:val="372C74"/>
                <w:szCs w:val="22"/>
              </w:rPr>
              <w:t xml:space="preserve">Lze předpokládat pokračující a rychlejší demografické změny populace a zvětšující se národnostní pestrost. </w:t>
            </w:r>
          </w:p>
          <w:p w:rsidR="00CA56E1" w:rsidRPr="00053817" w:rsidRDefault="00E66863" w:rsidP="00E66863">
            <w:pPr>
              <w:autoSpaceDE w:val="0"/>
              <w:autoSpaceDN w:val="0"/>
              <w:adjustRightInd w:val="0"/>
              <w:spacing w:before="60" w:after="60" w:line="240" w:lineRule="auto"/>
              <w:rPr>
                <w:rFonts w:cs="Arial-ItalicMT"/>
                <w:iCs/>
                <w:color w:val="372C74"/>
                <w:szCs w:val="22"/>
              </w:rPr>
            </w:pPr>
            <w:r>
              <w:rPr>
                <w:rFonts w:cs="Arial-ItalicMT"/>
                <w:iCs/>
                <w:color w:val="372C74"/>
                <w:szCs w:val="22"/>
              </w:rPr>
              <w:t>Pozitivem je fungující zastupitelský systém a nízký index vnímání korupce.</w:t>
            </w:r>
          </w:p>
        </w:tc>
      </w:tr>
    </w:tbl>
    <w:p w:rsidR="006D73C9" w:rsidRDefault="006D73C9">
      <w:pPr>
        <w:spacing w:before="0" w:after="0" w:line="240" w:lineRule="auto"/>
        <w:jc w:val="left"/>
        <w:rPr>
          <w:b/>
          <w:color w:val="372C74"/>
          <w:spacing w:val="20"/>
          <w:sz w:val="26"/>
          <w:szCs w:val="22"/>
          <w:lang w:bidi="ar-SA"/>
        </w:rPr>
      </w:pPr>
      <w:r>
        <w:rPr>
          <w:lang w:bidi="ar-SA"/>
        </w:rPr>
        <w:br w:type="page"/>
      </w:r>
    </w:p>
    <w:p w:rsidR="00E538EE" w:rsidRDefault="00E538EE" w:rsidP="00E538EE">
      <w:pPr>
        <w:pStyle w:val="Nadpis1"/>
        <w:spacing w:before="120" w:after="120" w:line="240" w:lineRule="auto"/>
      </w:pPr>
      <w:bookmarkStart w:id="148" w:name="_Toc373141655"/>
      <w:bookmarkStart w:id="149" w:name="_Toc516058344"/>
      <w:r>
        <w:lastRenderedPageBreak/>
        <w:t>Seznam zkratek</w:t>
      </w:r>
      <w:bookmarkEnd w:id="148"/>
      <w:bookmarkEnd w:id="149"/>
    </w:p>
    <w:p w:rsidR="00E538EE" w:rsidRDefault="00E538EE" w:rsidP="002E6EE1">
      <w:pPr>
        <w:spacing w:before="120" w:after="0"/>
      </w:pPr>
    </w:p>
    <w:tbl>
      <w:tblPr>
        <w:tblW w:w="0" w:type="auto"/>
        <w:tblBorders>
          <w:insideV w:val="single" w:sz="4" w:space="0" w:color="000000"/>
        </w:tblBorders>
        <w:tblLook w:val="04A0" w:firstRow="1" w:lastRow="0" w:firstColumn="1" w:lastColumn="0" w:noHBand="0" w:noVBand="1"/>
      </w:tblPr>
      <w:tblGrid>
        <w:gridCol w:w="1809"/>
        <w:gridCol w:w="7403"/>
      </w:tblGrid>
      <w:tr w:rsidR="00AC33D6" w:rsidRPr="000E3F61" w:rsidTr="002B7838">
        <w:tc>
          <w:tcPr>
            <w:tcW w:w="1809" w:type="dxa"/>
            <w:vAlign w:val="center"/>
          </w:tcPr>
          <w:bookmarkEnd w:id="18"/>
          <w:p w:rsidR="00AC33D6" w:rsidRDefault="00AC33D6" w:rsidP="002B7838">
            <w:pPr>
              <w:spacing w:before="0" w:after="0"/>
              <w:jc w:val="right"/>
              <w:rPr>
                <w:rFonts w:asciiTheme="majorHAnsi" w:hAnsiTheme="majorHAnsi"/>
              </w:rPr>
            </w:pPr>
            <w:r>
              <w:rPr>
                <w:rFonts w:asciiTheme="majorHAnsi" w:hAnsiTheme="majorHAnsi"/>
              </w:rPr>
              <w:t>BRKO</w:t>
            </w:r>
          </w:p>
        </w:tc>
        <w:tc>
          <w:tcPr>
            <w:tcW w:w="7403" w:type="dxa"/>
            <w:vAlign w:val="center"/>
          </w:tcPr>
          <w:p w:rsidR="00AC33D6" w:rsidRPr="00DF2A29" w:rsidRDefault="00AC33D6" w:rsidP="002B7838">
            <w:pPr>
              <w:spacing w:before="0" w:after="0"/>
              <w:rPr>
                <w:rFonts w:asciiTheme="majorHAnsi" w:hAnsiTheme="majorHAnsi"/>
              </w:rPr>
            </w:pPr>
            <w:r w:rsidRPr="00715084">
              <w:rPr>
                <w:rFonts w:asciiTheme="majorHAnsi" w:hAnsiTheme="majorHAnsi"/>
              </w:rPr>
              <w:t xml:space="preserve">Biologicky rozložitelný komunální odpad </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CO</w:t>
            </w:r>
          </w:p>
        </w:tc>
        <w:tc>
          <w:tcPr>
            <w:tcW w:w="7403" w:type="dxa"/>
            <w:vAlign w:val="center"/>
          </w:tcPr>
          <w:p w:rsidR="00AC33D6" w:rsidRPr="004A3E24" w:rsidRDefault="00AC33D6" w:rsidP="002B7838">
            <w:pPr>
              <w:spacing w:before="0" w:after="0"/>
              <w:rPr>
                <w:rFonts w:asciiTheme="majorHAnsi" w:hAnsiTheme="majorHAnsi"/>
              </w:rPr>
            </w:pPr>
            <w:r>
              <w:rPr>
                <w:rFonts w:asciiTheme="majorHAnsi" w:hAnsiTheme="majorHAnsi"/>
              </w:rPr>
              <w:t>Kysličník uhlíku</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CZ-NACE</w:t>
            </w:r>
          </w:p>
        </w:tc>
        <w:tc>
          <w:tcPr>
            <w:tcW w:w="7403" w:type="dxa"/>
            <w:vAlign w:val="center"/>
          </w:tcPr>
          <w:p w:rsidR="00AC33D6" w:rsidRPr="00DF2A29" w:rsidRDefault="00AC33D6" w:rsidP="002B7838">
            <w:pPr>
              <w:spacing w:before="0" w:after="0"/>
              <w:rPr>
                <w:rFonts w:asciiTheme="majorHAnsi" w:hAnsiTheme="majorHAnsi"/>
              </w:rPr>
            </w:pPr>
            <w:r>
              <w:rPr>
                <w:rFonts w:asciiTheme="majorHAnsi" w:hAnsiTheme="majorHAnsi"/>
              </w:rPr>
              <w:t>Odvětvová klasifikace ekonomických činností</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ČOV</w:t>
            </w:r>
          </w:p>
        </w:tc>
        <w:tc>
          <w:tcPr>
            <w:tcW w:w="7403" w:type="dxa"/>
            <w:vAlign w:val="center"/>
          </w:tcPr>
          <w:p w:rsidR="00AC33D6" w:rsidRPr="00DF2A29" w:rsidRDefault="00AC33D6" w:rsidP="002B7838">
            <w:pPr>
              <w:spacing w:before="0" w:after="0"/>
              <w:rPr>
                <w:rFonts w:asciiTheme="majorHAnsi" w:hAnsiTheme="majorHAnsi"/>
              </w:rPr>
            </w:pPr>
            <w:r>
              <w:rPr>
                <w:rFonts w:asciiTheme="majorHAnsi" w:hAnsiTheme="majorHAnsi"/>
              </w:rPr>
              <w:t>Č</w:t>
            </w:r>
            <w:r w:rsidRPr="004A3E24">
              <w:rPr>
                <w:rFonts w:asciiTheme="majorHAnsi" w:hAnsiTheme="majorHAnsi"/>
              </w:rPr>
              <w:t xml:space="preserve">istírna odpadních vod </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ČSAD</w:t>
            </w:r>
          </w:p>
        </w:tc>
        <w:tc>
          <w:tcPr>
            <w:tcW w:w="7403" w:type="dxa"/>
            <w:vAlign w:val="center"/>
          </w:tcPr>
          <w:p w:rsidR="00AC33D6" w:rsidRDefault="00DE4BB3" w:rsidP="002B7838">
            <w:pPr>
              <w:spacing w:before="0" w:after="0"/>
              <w:rPr>
                <w:rFonts w:asciiTheme="majorHAnsi" w:hAnsiTheme="majorHAnsi"/>
              </w:rPr>
            </w:pPr>
            <w:r w:rsidRPr="00DE4BB3">
              <w:rPr>
                <w:rFonts w:asciiTheme="majorHAnsi" w:hAnsiTheme="majorHAnsi"/>
              </w:rPr>
              <w:t>Československá státní automobilová doprava</w:t>
            </w:r>
          </w:p>
        </w:tc>
      </w:tr>
      <w:tr w:rsidR="00AC33D6" w:rsidRPr="000E3F61" w:rsidTr="00725E1D">
        <w:tc>
          <w:tcPr>
            <w:tcW w:w="1809" w:type="dxa"/>
            <w:vAlign w:val="center"/>
          </w:tcPr>
          <w:p w:rsidR="00AC33D6" w:rsidRPr="000E3F61" w:rsidRDefault="00AC33D6" w:rsidP="00725E1D">
            <w:pPr>
              <w:spacing w:before="0" w:after="0"/>
              <w:jc w:val="right"/>
              <w:rPr>
                <w:rFonts w:asciiTheme="majorHAnsi" w:hAnsiTheme="majorHAnsi"/>
              </w:rPr>
            </w:pPr>
            <w:r>
              <w:rPr>
                <w:rFonts w:asciiTheme="majorHAnsi" w:hAnsiTheme="majorHAnsi"/>
              </w:rPr>
              <w:t>ČSÚ</w:t>
            </w:r>
          </w:p>
        </w:tc>
        <w:tc>
          <w:tcPr>
            <w:tcW w:w="7403" w:type="dxa"/>
            <w:vAlign w:val="center"/>
          </w:tcPr>
          <w:p w:rsidR="00AC33D6" w:rsidRPr="000E3F61" w:rsidRDefault="00AC33D6" w:rsidP="00725E1D">
            <w:pPr>
              <w:spacing w:before="0" w:after="0"/>
              <w:rPr>
                <w:rFonts w:asciiTheme="majorHAnsi" w:hAnsiTheme="majorHAnsi"/>
              </w:rPr>
            </w:pPr>
            <w:r>
              <w:rPr>
                <w:rFonts w:asciiTheme="majorHAnsi" w:hAnsiTheme="majorHAnsi"/>
              </w:rPr>
              <w:t>Český statistický úřad</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DDM</w:t>
            </w:r>
          </w:p>
        </w:tc>
        <w:tc>
          <w:tcPr>
            <w:tcW w:w="7403" w:type="dxa"/>
            <w:vAlign w:val="center"/>
          </w:tcPr>
          <w:p w:rsidR="00AC33D6" w:rsidRDefault="00AC33D6" w:rsidP="002B7838">
            <w:pPr>
              <w:spacing w:before="0" w:after="0"/>
              <w:rPr>
                <w:rFonts w:asciiTheme="majorHAnsi" w:hAnsiTheme="majorHAnsi"/>
              </w:rPr>
            </w:pPr>
            <w:r>
              <w:rPr>
                <w:rFonts w:asciiTheme="majorHAnsi" w:hAnsiTheme="majorHAnsi"/>
              </w:rPr>
              <w:t>Dům dětí a mládeže</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EU</w:t>
            </w:r>
          </w:p>
        </w:tc>
        <w:tc>
          <w:tcPr>
            <w:tcW w:w="7403" w:type="dxa"/>
            <w:vAlign w:val="center"/>
          </w:tcPr>
          <w:p w:rsidR="00AC33D6" w:rsidRPr="004A3E24" w:rsidRDefault="00AC33D6" w:rsidP="002B7838">
            <w:pPr>
              <w:spacing w:before="0" w:after="0"/>
              <w:rPr>
                <w:rFonts w:asciiTheme="majorHAnsi" w:hAnsiTheme="majorHAnsi"/>
              </w:rPr>
            </w:pPr>
            <w:r>
              <w:rPr>
                <w:rFonts w:asciiTheme="majorHAnsi" w:hAnsiTheme="majorHAnsi"/>
              </w:rPr>
              <w:t>Evropská unie</w:t>
            </w:r>
          </w:p>
        </w:tc>
      </w:tr>
      <w:tr w:rsidR="00AC33D6" w:rsidRPr="000E3F61" w:rsidTr="002B7838">
        <w:tc>
          <w:tcPr>
            <w:tcW w:w="1809" w:type="dxa"/>
            <w:vAlign w:val="center"/>
          </w:tcPr>
          <w:p w:rsidR="00AC33D6" w:rsidRPr="000E3F61" w:rsidRDefault="00AC33D6" w:rsidP="002B7838">
            <w:pPr>
              <w:spacing w:before="0" w:after="0"/>
              <w:jc w:val="right"/>
              <w:rPr>
                <w:rFonts w:asciiTheme="majorHAnsi" w:hAnsiTheme="majorHAnsi"/>
              </w:rPr>
            </w:pPr>
            <w:r>
              <w:rPr>
                <w:rFonts w:asciiTheme="majorHAnsi" w:hAnsiTheme="majorHAnsi"/>
              </w:rPr>
              <w:t>CHKO</w:t>
            </w:r>
          </w:p>
        </w:tc>
        <w:tc>
          <w:tcPr>
            <w:tcW w:w="7403" w:type="dxa"/>
            <w:vAlign w:val="center"/>
          </w:tcPr>
          <w:p w:rsidR="00AC33D6" w:rsidRPr="000E3F61" w:rsidRDefault="00AC33D6" w:rsidP="002B7838">
            <w:pPr>
              <w:spacing w:before="0" w:after="0"/>
              <w:rPr>
                <w:rFonts w:asciiTheme="majorHAnsi" w:hAnsiTheme="majorHAnsi"/>
              </w:rPr>
            </w:pPr>
            <w:r>
              <w:rPr>
                <w:rFonts w:asciiTheme="majorHAnsi" w:hAnsiTheme="majorHAnsi"/>
              </w:rPr>
              <w:t>Chráněné krajinná oblast</w:t>
            </w:r>
          </w:p>
        </w:tc>
      </w:tr>
      <w:tr w:rsidR="00B9565D" w:rsidRPr="000E3F61" w:rsidTr="002B7838">
        <w:tc>
          <w:tcPr>
            <w:tcW w:w="1809" w:type="dxa"/>
            <w:vAlign w:val="center"/>
          </w:tcPr>
          <w:p w:rsidR="00B9565D" w:rsidRDefault="00B9565D" w:rsidP="002B7838">
            <w:pPr>
              <w:spacing w:before="0" w:after="0"/>
              <w:jc w:val="right"/>
              <w:rPr>
                <w:rFonts w:asciiTheme="majorHAnsi" w:hAnsiTheme="majorHAnsi"/>
              </w:rPr>
            </w:pPr>
            <w:r>
              <w:rPr>
                <w:rFonts w:asciiTheme="majorHAnsi" w:hAnsiTheme="majorHAnsi"/>
              </w:rPr>
              <w:t>IC</w:t>
            </w:r>
          </w:p>
        </w:tc>
        <w:tc>
          <w:tcPr>
            <w:tcW w:w="7403" w:type="dxa"/>
            <w:vAlign w:val="center"/>
          </w:tcPr>
          <w:p w:rsidR="00B9565D" w:rsidRDefault="00B9565D" w:rsidP="002B7838">
            <w:pPr>
              <w:spacing w:before="0" w:after="0"/>
              <w:rPr>
                <w:rFonts w:asciiTheme="majorHAnsi" w:hAnsiTheme="majorHAnsi"/>
              </w:rPr>
            </w:pPr>
            <w:r>
              <w:rPr>
                <w:rFonts w:asciiTheme="majorHAnsi" w:hAnsiTheme="majorHAnsi"/>
              </w:rPr>
              <w:t>Informační centrum</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IROP</w:t>
            </w:r>
          </w:p>
        </w:tc>
        <w:tc>
          <w:tcPr>
            <w:tcW w:w="7403" w:type="dxa"/>
            <w:vAlign w:val="center"/>
          </w:tcPr>
          <w:p w:rsidR="00AC33D6" w:rsidRDefault="00AC33D6" w:rsidP="002B7838">
            <w:pPr>
              <w:spacing w:before="0" w:after="0"/>
              <w:rPr>
                <w:rFonts w:asciiTheme="majorHAnsi" w:hAnsiTheme="majorHAnsi"/>
              </w:rPr>
            </w:pPr>
            <w:r>
              <w:rPr>
                <w:rFonts w:asciiTheme="majorHAnsi" w:hAnsiTheme="majorHAnsi"/>
              </w:rPr>
              <w:t>Integrovaný regionální operační program</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LDN</w:t>
            </w:r>
          </w:p>
        </w:tc>
        <w:tc>
          <w:tcPr>
            <w:tcW w:w="7403" w:type="dxa"/>
            <w:vAlign w:val="center"/>
          </w:tcPr>
          <w:p w:rsidR="00AC33D6" w:rsidRDefault="00AC33D6" w:rsidP="002B7838">
            <w:pPr>
              <w:spacing w:before="0" w:after="0"/>
              <w:rPr>
                <w:rFonts w:asciiTheme="majorHAnsi" w:hAnsiTheme="majorHAnsi"/>
              </w:rPr>
            </w:pPr>
            <w:r w:rsidRPr="004A3E24">
              <w:rPr>
                <w:rFonts w:asciiTheme="majorHAnsi" w:hAnsiTheme="majorHAnsi"/>
              </w:rPr>
              <w:t xml:space="preserve">Léčebna pro dlouhodobě nemocné </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LPIS</w:t>
            </w:r>
          </w:p>
        </w:tc>
        <w:tc>
          <w:tcPr>
            <w:tcW w:w="7403" w:type="dxa"/>
            <w:vAlign w:val="center"/>
          </w:tcPr>
          <w:p w:rsidR="00AC33D6" w:rsidRPr="004A3E24" w:rsidRDefault="00DE4BB3" w:rsidP="002B7838">
            <w:pPr>
              <w:spacing w:before="0" w:after="0"/>
              <w:rPr>
                <w:rFonts w:asciiTheme="majorHAnsi" w:hAnsiTheme="majorHAnsi"/>
              </w:rPr>
            </w:pPr>
            <w:r>
              <w:rPr>
                <w:rFonts w:asciiTheme="majorHAnsi" w:hAnsiTheme="majorHAnsi"/>
              </w:rPr>
              <w:t>Veřejný registr půdy</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MAS</w:t>
            </w:r>
          </w:p>
        </w:tc>
        <w:tc>
          <w:tcPr>
            <w:tcW w:w="7403" w:type="dxa"/>
            <w:vAlign w:val="center"/>
          </w:tcPr>
          <w:p w:rsidR="00AC33D6" w:rsidRPr="00DF2A29" w:rsidRDefault="00AC33D6" w:rsidP="002B7838">
            <w:pPr>
              <w:spacing w:before="0" w:after="0"/>
              <w:rPr>
                <w:rFonts w:asciiTheme="majorHAnsi" w:hAnsiTheme="majorHAnsi"/>
              </w:rPr>
            </w:pPr>
            <w:r>
              <w:rPr>
                <w:rFonts w:asciiTheme="majorHAnsi" w:hAnsiTheme="majorHAnsi"/>
              </w:rPr>
              <w:t>Místní akční skupina</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MŠ</w:t>
            </w:r>
          </w:p>
        </w:tc>
        <w:tc>
          <w:tcPr>
            <w:tcW w:w="7403" w:type="dxa"/>
            <w:vAlign w:val="center"/>
          </w:tcPr>
          <w:p w:rsidR="00AC33D6" w:rsidRDefault="00AC33D6" w:rsidP="002B7838">
            <w:pPr>
              <w:spacing w:before="0" w:after="0"/>
              <w:rPr>
                <w:rFonts w:asciiTheme="majorHAnsi" w:hAnsiTheme="majorHAnsi"/>
              </w:rPr>
            </w:pPr>
            <w:r>
              <w:rPr>
                <w:rFonts w:asciiTheme="majorHAnsi" w:hAnsiTheme="majorHAnsi"/>
              </w:rPr>
              <w:t>Mateřská škola</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NO</w:t>
            </w:r>
          </w:p>
          <w:p w:rsidR="00EB26FE" w:rsidRDefault="00EB26FE" w:rsidP="002B7838">
            <w:pPr>
              <w:spacing w:before="0" w:after="0"/>
              <w:jc w:val="right"/>
              <w:rPr>
                <w:rFonts w:asciiTheme="majorHAnsi" w:hAnsiTheme="majorHAnsi"/>
              </w:rPr>
            </w:pPr>
            <w:r>
              <w:rPr>
                <w:rFonts w:asciiTheme="majorHAnsi" w:hAnsiTheme="majorHAnsi"/>
              </w:rPr>
              <w:t>ORP</w:t>
            </w:r>
          </w:p>
        </w:tc>
        <w:tc>
          <w:tcPr>
            <w:tcW w:w="7403" w:type="dxa"/>
            <w:vAlign w:val="center"/>
          </w:tcPr>
          <w:p w:rsidR="00AC33D6" w:rsidRDefault="00AC33D6" w:rsidP="002B7838">
            <w:pPr>
              <w:spacing w:before="0" w:after="0"/>
              <w:rPr>
                <w:rFonts w:asciiTheme="majorHAnsi" w:hAnsiTheme="majorHAnsi"/>
              </w:rPr>
            </w:pPr>
            <w:r>
              <w:rPr>
                <w:rFonts w:asciiTheme="majorHAnsi" w:hAnsiTheme="majorHAnsi"/>
              </w:rPr>
              <w:t>Kysličník dusíku</w:t>
            </w:r>
          </w:p>
          <w:p w:rsidR="00EB26FE" w:rsidRPr="004A3E24" w:rsidRDefault="00EB26FE" w:rsidP="002B7838">
            <w:pPr>
              <w:spacing w:before="0" w:after="0"/>
              <w:rPr>
                <w:rFonts w:asciiTheme="majorHAnsi" w:hAnsiTheme="majorHAnsi"/>
              </w:rPr>
            </w:pPr>
            <w:r>
              <w:rPr>
                <w:rFonts w:asciiTheme="majorHAnsi" w:hAnsiTheme="majorHAnsi"/>
              </w:rPr>
              <w:t>Obec s rozšířenou působností</w:t>
            </w:r>
          </w:p>
        </w:tc>
      </w:tr>
      <w:tr w:rsidR="00AC33D6" w:rsidRPr="000E3F61" w:rsidTr="002B7838">
        <w:tc>
          <w:tcPr>
            <w:tcW w:w="1809" w:type="dxa"/>
            <w:vAlign w:val="center"/>
          </w:tcPr>
          <w:p w:rsidR="00AC33D6" w:rsidRDefault="003D5E52" w:rsidP="002B7838">
            <w:pPr>
              <w:spacing w:before="0" w:after="0"/>
              <w:jc w:val="right"/>
              <w:rPr>
                <w:rFonts w:asciiTheme="majorHAnsi" w:hAnsiTheme="majorHAnsi"/>
              </w:rPr>
            </w:pPr>
            <w:r>
              <w:rPr>
                <w:rFonts w:asciiTheme="majorHAnsi" w:hAnsiTheme="majorHAnsi"/>
              </w:rPr>
              <w:t>SPRMO</w:t>
            </w:r>
          </w:p>
        </w:tc>
        <w:tc>
          <w:tcPr>
            <w:tcW w:w="7403" w:type="dxa"/>
            <w:vAlign w:val="center"/>
          </w:tcPr>
          <w:p w:rsidR="00AC33D6" w:rsidRPr="004A3E24" w:rsidRDefault="003D5E52" w:rsidP="002B7838">
            <w:pPr>
              <w:spacing w:before="0" w:after="0"/>
              <w:rPr>
                <w:rFonts w:asciiTheme="majorHAnsi" w:hAnsiTheme="majorHAnsi"/>
              </w:rPr>
            </w:pPr>
            <w:r>
              <w:rPr>
                <w:rFonts w:asciiTheme="majorHAnsi" w:hAnsiTheme="majorHAnsi"/>
              </w:rPr>
              <w:t>Strategický plán rozvoje města Ostrova</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ŘSD</w:t>
            </w:r>
          </w:p>
        </w:tc>
        <w:tc>
          <w:tcPr>
            <w:tcW w:w="7403" w:type="dxa"/>
            <w:vAlign w:val="center"/>
          </w:tcPr>
          <w:p w:rsidR="00AC33D6" w:rsidRPr="00DF2A29" w:rsidRDefault="00AC33D6" w:rsidP="002B7838">
            <w:pPr>
              <w:spacing w:before="0" w:after="0"/>
              <w:rPr>
                <w:rFonts w:asciiTheme="majorHAnsi" w:hAnsiTheme="majorHAnsi"/>
              </w:rPr>
            </w:pPr>
            <w:r>
              <w:rPr>
                <w:rFonts w:asciiTheme="majorHAnsi" w:hAnsiTheme="majorHAnsi"/>
              </w:rPr>
              <w:t>Ředitelství silnic a dálnic</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SLDB 2011</w:t>
            </w:r>
          </w:p>
        </w:tc>
        <w:tc>
          <w:tcPr>
            <w:tcW w:w="7403" w:type="dxa"/>
            <w:vAlign w:val="center"/>
          </w:tcPr>
          <w:p w:rsidR="00AC33D6" w:rsidRPr="00DF2A29" w:rsidRDefault="00AC33D6" w:rsidP="002B7838">
            <w:pPr>
              <w:spacing w:before="0" w:after="0"/>
              <w:rPr>
                <w:rFonts w:asciiTheme="majorHAnsi" w:hAnsiTheme="majorHAnsi"/>
              </w:rPr>
            </w:pPr>
            <w:r>
              <w:rPr>
                <w:rFonts w:asciiTheme="majorHAnsi" w:hAnsiTheme="majorHAnsi"/>
              </w:rPr>
              <w:t>Sčítání lidí, domů a bytů v roce 2011</w:t>
            </w:r>
          </w:p>
        </w:tc>
      </w:tr>
      <w:tr w:rsidR="00AC33D6" w:rsidRPr="000E3F61" w:rsidTr="002B7838">
        <w:tc>
          <w:tcPr>
            <w:tcW w:w="1809" w:type="dxa"/>
            <w:vAlign w:val="center"/>
          </w:tcPr>
          <w:p w:rsidR="00AC33D6" w:rsidRPr="000E3F61" w:rsidRDefault="00AC33D6" w:rsidP="002B7838">
            <w:pPr>
              <w:spacing w:before="0" w:after="0"/>
              <w:jc w:val="right"/>
              <w:rPr>
                <w:rFonts w:asciiTheme="majorHAnsi" w:hAnsiTheme="majorHAnsi"/>
              </w:rPr>
            </w:pPr>
            <w:r>
              <w:rPr>
                <w:rFonts w:asciiTheme="majorHAnsi" w:hAnsiTheme="majorHAnsi"/>
              </w:rPr>
              <w:t>SO ORP</w:t>
            </w:r>
          </w:p>
        </w:tc>
        <w:tc>
          <w:tcPr>
            <w:tcW w:w="7403" w:type="dxa"/>
            <w:vAlign w:val="center"/>
          </w:tcPr>
          <w:p w:rsidR="00AC33D6" w:rsidRPr="000E3F61" w:rsidRDefault="00AC33D6" w:rsidP="002B7838">
            <w:pPr>
              <w:spacing w:before="0" w:after="0"/>
              <w:rPr>
                <w:rFonts w:asciiTheme="majorHAnsi" w:hAnsiTheme="majorHAnsi"/>
              </w:rPr>
            </w:pPr>
            <w:r>
              <w:rPr>
                <w:rFonts w:asciiTheme="majorHAnsi" w:hAnsiTheme="majorHAnsi"/>
              </w:rPr>
              <w:t>Správní obvod obce s rozšířenou působností</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SŠ</w:t>
            </w:r>
          </w:p>
        </w:tc>
        <w:tc>
          <w:tcPr>
            <w:tcW w:w="7403" w:type="dxa"/>
            <w:vAlign w:val="center"/>
          </w:tcPr>
          <w:p w:rsidR="00AC33D6" w:rsidRDefault="00AC33D6" w:rsidP="002B7838">
            <w:pPr>
              <w:spacing w:before="0" w:after="0"/>
              <w:rPr>
                <w:rFonts w:asciiTheme="majorHAnsi" w:hAnsiTheme="majorHAnsi"/>
              </w:rPr>
            </w:pPr>
            <w:r>
              <w:rPr>
                <w:rFonts w:asciiTheme="majorHAnsi" w:hAnsiTheme="majorHAnsi"/>
              </w:rPr>
              <w:t>Střední škola</w:t>
            </w:r>
          </w:p>
        </w:tc>
      </w:tr>
      <w:tr w:rsidR="00AC33D6" w:rsidRPr="000E3F61" w:rsidTr="002B7838">
        <w:tc>
          <w:tcPr>
            <w:tcW w:w="1809" w:type="dxa"/>
            <w:vAlign w:val="center"/>
          </w:tcPr>
          <w:p w:rsidR="00AC33D6" w:rsidRPr="00DF2A29" w:rsidRDefault="00AC33D6" w:rsidP="002B7838">
            <w:pPr>
              <w:spacing w:before="0" w:after="0"/>
              <w:jc w:val="right"/>
              <w:rPr>
                <w:rFonts w:asciiTheme="majorHAnsi" w:hAnsiTheme="majorHAnsi"/>
              </w:rPr>
            </w:pPr>
            <w:r>
              <w:rPr>
                <w:rFonts w:asciiTheme="majorHAnsi" w:hAnsiTheme="majorHAnsi"/>
              </w:rPr>
              <w:t>SWOT</w:t>
            </w:r>
          </w:p>
        </w:tc>
        <w:tc>
          <w:tcPr>
            <w:tcW w:w="7403" w:type="dxa"/>
            <w:vAlign w:val="center"/>
          </w:tcPr>
          <w:p w:rsidR="00AC33D6" w:rsidRPr="00DF2A29" w:rsidRDefault="00AC33D6" w:rsidP="002B7838">
            <w:pPr>
              <w:spacing w:before="0" w:after="0"/>
              <w:rPr>
                <w:rFonts w:asciiTheme="majorHAnsi" w:hAnsiTheme="majorHAnsi"/>
              </w:rPr>
            </w:pPr>
            <w:r>
              <w:rPr>
                <w:rFonts w:asciiTheme="majorHAnsi" w:hAnsiTheme="majorHAnsi"/>
              </w:rPr>
              <w:t>Analýza silných a slabých stránek, příležitostí a hrozeb</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UNESCO</w:t>
            </w:r>
          </w:p>
        </w:tc>
        <w:tc>
          <w:tcPr>
            <w:tcW w:w="7403" w:type="dxa"/>
            <w:vAlign w:val="center"/>
          </w:tcPr>
          <w:p w:rsidR="00AC33D6" w:rsidRPr="00DF2A29" w:rsidRDefault="00DE4BB3" w:rsidP="002B7838">
            <w:pPr>
              <w:spacing w:before="0" w:after="0"/>
              <w:rPr>
                <w:rFonts w:asciiTheme="majorHAnsi" w:hAnsiTheme="majorHAnsi"/>
              </w:rPr>
            </w:pPr>
            <w:r w:rsidRPr="00DE4BB3">
              <w:rPr>
                <w:rFonts w:asciiTheme="majorHAnsi" w:hAnsiTheme="majorHAnsi"/>
              </w:rPr>
              <w:t>Organizace OSN pro výchovu, vědu a kulturu</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USLE</w:t>
            </w:r>
          </w:p>
        </w:tc>
        <w:tc>
          <w:tcPr>
            <w:tcW w:w="7403" w:type="dxa"/>
            <w:vAlign w:val="center"/>
          </w:tcPr>
          <w:p w:rsidR="00AC33D6" w:rsidRPr="004A3E24" w:rsidRDefault="00DE4BB3" w:rsidP="002B7838">
            <w:pPr>
              <w:spacing w:before="0" w:after="0"/>
              <w:rPr>
                <w:rFonts w:asciiTheme="majorHAnsi" w:hAnsiTheme="majorHAnsi"/>
              </w:rPr>
            </w:pPr>
            <w:r>
              <w:rPr>
                <w:rFonts w:asciiTheme="majorHAnsi" w:hAnsiTheme="majorHAnsi"/>
              </w:rPr>
              <w:t>U</w:t>
            </w:r>
            <w:r w:rsidRPr="00DE4BB3">
              <w:rPr>
                <w:rFonts w:asciiTheme="majorHAnsi" w:hAnsiTheme="majorHAnsi"/>
              </w:rPr>
              <w:t>niverzální rovnice ztráty půdy</w:t>
            </w:r>
            <w:r>
              <w:rPr>
                <w:bCs/>
                <w:iCs/>
                <w:sz w:val="20"/>
                <w:szCs w:val="28"/>
              </w:rPr>
              <w:t xml:space="preserve"> </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VN</w:t>
            </w:r>
          </w:p>
        </w:tc>
        <w:tc>
          <w:tcPr>
            <w:tcW w:w="7403" w:type="dxa"/>
            <w:vAlign w:val="center"/>
          </w:tcPr>
          <w:p w:rsidR="00AC33D6" w:rsidRPr="00DF2A29" w:rsidRDefault="00AC33D6" w:rsidP="002B7838">
            <w:pPr>
              <w:spacing w:before="0" w:after="0"/>
              <w:rPr>
                <w:rFonts w:asciiTheme="majorHAnsi" w:hAnsiTheme="majorHAnsi"/>
              </w:rPr>
            </w:pPr>
            <w:r>
              <w:rPr>
                <w:rFonts w:asciiTheme="majorHAnsi" w:hAnsiTheme="majorHAnsi"/>
              </w:rPr>
              <w:t>Vysoké napětí</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VUT</w:t>
            </w:r>
          </w:p>
        </w:tc>
        <w:tc>
          <w:tcPr>
            <w:tcW w:w="7403" w:type="dxa"/>
            <w:vAlign w:val="center"/>
          </w:tcPr>
          <w:p w:rsidR="00AC33D6" w:rsidRDefault="00AC33D6" w:rsidP="002B7838">
            <w:pPr>
              <w:spacing w:before="0" w:after="0"/>
              <w:rPr>
                <w:rFonts w:asciiTheme="majorHAnsi" w:hAnsiTheme="majorHAnsi"/>
              </w:rPr>
            </w:pPr>
            <w:r>
              <w:rPr>
                <w:rFonts w:asciiTheme="majorHAnsi" w:hAnsiTheme="majorHAnsi"/>
              </w:rPr>
              <w:t>Vysoké učení technické</w:t>
            </w:r>
          </w:p>
        </w:tc>
      </w:tr>
      <w:tr w:rsidR="00AC33D6" w:rsidRPr="000E3F61" w:rsidTr="002B7838">
        <w:tc>
          <w:tcPr>
            <w:tcW w:w="1809" w:type="dxa"/>
            <w:vAlign w:val="center"/>
          </w:tcPr>
          <w:p w:rsidR="00AC33D6" w:rsidRDefault="00AC33D6" w:rsidP="002B7838">
            <w:pPr>
              <w:spacing w:before="0" w:after="0"/>
              <w:jc w:val="right"/>
              <w:rPr>
                <w:rFonts w:asciiTheme="majorHAnsi" w:hAnsiTheme="majorHAnsi"/>
              </w:rPr>
            </w:pPr>
            <w:r>
              <w:rPr>
                <w:rFonts w:asciiTheme="majorHAnsi" w:hAnsiTheme="majorHAnsi"/>
              </w:rPr>
              <w:t>ZŠ</w:t>
            </w:r>
          </w:p>
        </w:tc>
        <w:tc>
          <w:tcPr>
            <w:tcW w:w="7403" w:type="dxa"/>
            <w:vAlign w:val="center"/>
          </w:tcPr>
          <w:p w:rsidR="00AC33D6" w:rsidRDefault="00AC33D6" w:rsidP="002B7838">
            <w:pPr>
              <w:spacing w:before="0" w:after="0"/>
              <w:rPr>
                <w:rFonts w:asciiTheme="majorHAnsi" w:hAnsiTheme="majorHAnsi"/>
              </w:rPr>
            </w:pPr>
            <w:r>
              <w:rPr>
                <w:rFonts w:asciiTheme="majorHAnsi" w:hAnsiTheme="majorHAnsi"/>
              </w:rPr>
              <w:t>Základní škola</w:t>
            </w:r>
          </w:p>
        </w:tc>
      </w:tr>
    </w:tbl>
    <w:p w:rsidR="009674FB" w:rsidRDefault="009674FB" w:rsidP="0075380D">
      <w:pPr>
        <w:spacing w:line="240" w:lineRule="auto"/>
        <w:rPr>
          <w:lang w:bidi="ar-SA"/>
        </w:rPr>
      </w:pPr>
    </w:p>
    <w:p w:rsidR="00E538EE" w:rsidRDefault="00E538EE">
      <w:pPr>
        <w:spacing w:before="0" w:after="0" w:line="240" w:lineRule="auto"/>
        <w:jc w:val="left"/>
        <w:rPr>
          <w:b/>
          <w:bCs/>
          <w:color w:val="372C74"/>
          <w:spacing w:val="20"/>
          <w:sz w:val="28"/>
          <w:szCs w:val="22"/>
        </w:rPr>
      </w:pPr>
      <w:bookmarkStart w:id="150" w:name="_Toc387067073"/>
      <w:r>
        <w:br w:type="page"/>
      </w:r>
    </w:p>
    <w:p w:rsidR="00D82C5F" w:rsidRDefault="00D82C5F" w:rsidP="00D82C5F">
      <w:pPr>
        <w:pStyle w:val="Nadpis1"/>
        <w:spacing w:before="120" w:after="120" w:line="240" w:lineRule="auto"/>
      </w:pPr>
      <w:bookmarkStart w:id="151" w:name="_Toc516058345"/>
      <w:r>
        <w:lastRenderedPageBreak/>
        <w:t>Seznam tabulek</w:t>
      </w:r>
      <w:bookmarkEnd w:id="150"/>
      <w:bookmarkEnd w:id="151"/>
    </w:p>
    <w:p w:rsidR="009B5674" w:rsidRDefault="005B55A2">
      <w:pPr>
        <w:pStyle w:val="Seznamobrzk"/>
        <w:tabs>
          <w:tab w:val="right" w:leader="dot" w:pos="9302"/>
        </w:tabs>
        <w:rPr>
          <w:rFonts w:asciiTheme="minorHAnsi" w:eastAsiaTheme="minorEastAsia" w:hAnsiTheme="minorHAnsi" w:cstheme="minorBidi"/>
          <w:noProof/>
          <w:spacing w:val="0"/>
          <w:szCs w:val="22"/>
          <w:lang w:eastAsia="cs-CZ" w:bidi="ar-SA"/>
        </w:rPr>
      </w:pPr>
      <w:r>
        <w:rPr>
          <w:rFonts w:cs="Arial-ItalicMT"/>
          <w:i/>
          <w:iCs/>
          <w:szCs w:val="22"/>
        </w:rPr>
        <w:fldChar w:fldCharType="begin"/>
      </w:r>
      <w:r w:rsidR="00D82C5F">
        <w:rPr>
          <w:rFonts w:cs="Arial-ItalicMT"/>
          <w:i/>
          <w:iCs/>
          <w:szCs w:val="22"/>
        </w:rPr>
        <w:instrText xml:space="preserve"> TOC \c "Tabulka č. " </w:instrText>
      </w:r>
      <w:r>
        <w:rPr>
          <w:rFonts w:cs="Arial-ItalicMT"/>
          <w:i/>
          <w:iCs/>
          <w:szCs w:val="22"/>
        </w:rPr>
        <w:fldChar w:fldCharType="separate"/>
      </w:r>
      <w:r w:rsidR="009B5674" w:rsidRPr="00BC2D27">
        <w:rPr>
          <w:rFonts w:asciiTheme="minorHAnsi" w:hAnsiTheme="minorHAnsi" w:cs="Arial-ItalicMT"/>
          <w:b/>
          <w:bCs/>
          <w:iCs/>
          <w:noProof/>
          <w:color w:val="372C74"/>
          <w:spacing w:val="10"/>
        </w:rPr>
        <w:t>Tabulka č. 1</w:t>
      </w:r>
      <w:r w:rsidR="009B5674" w:rsidRPr="00BC2D27">
        <w:rPr>
          <w:rFonts w:asciiTheme="minorHAnsi" w:hAnsiTheme="minorHAnsi" w:cs="Arial-ItalicMT"/>
          <w:iCs/>
          <w:noProof/>
        </w:rPr>
        <w:t xml:space="preserve"> - </w:t>
      </w:r>
      <w:r w:rsidR="009B5674" w:rsidRPr="00BC2D27">
        <w:rPr>
          <w:rFonts w:asciiTheme="majorHAnsi" w:hAnsiTheme="majorHAnsi"/>
          <w:noProof/>
        </w:rPr>
        <w:t>Stav obyvatelstva a průměrný věk v Ostrově</w:t>
      </w:r>
      <w:r w:rsidR="009B5674">
        <w:rPr>
          <w:noProof/>
        </w:rPr>
        <w:tab/>
      </w:r>
      <w:r w:rsidR="009B5674">
        <w:rPr>
          <w:noProof/>
        </w:rPr>
        <w:fldChar w:fldCharType="begin"/>
      </w:r>
      <w:r w:rsidR="009B5674">
        <w:rPr>
          <w:noProof/>
        </w:rPr>
        <w:instrText xml:space="preserve"> PAGEREF _Toc516059010 \h </w:instrText>
      </w:r>
      <w:r w:rsidR="009B5674">
        <w:rPr>
          <w:noProof/>
        </w:rPr>
      </w:r>
      <w:r w:rsidR="009B5674">
        <w:rPr>
          <w:noProof/>
        </w:rPr>
        <w:fldChar w:fldCharType="separate"/>
      </w:r>
      <w:r w:rsidR="009B5674">
        <w:rPr>
          <w:noProof/>
        </w:rPr>
        <w:t>17</w:t>
      </w:r>
      <w:r w:rsidR="009B5674">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w:t>
      </w:r>
      <w:r w:rsidRPr="00BC2D27">
        <w:rPr>
          <w:rFonts w:asciiTheme="minorHAnsi" w:hAnsiTheme="minorHAnsi" w:cs="Arial-ItalicMT"/>
          <w:iCs/>
          <w:noProof/>
        </w:rPr>
        <w:t xml:space="preserve"> - Porovnání vybraných parametrů veřejného zdraví – index potratovosti</w:t>
      </w:r>
      <w:r>
        <w:rPr>
          <w:noProof/>
        </w:rPr>
        <w:tab/>
      </w:r>
      <w:r>
        <w:rPr>
          <w:noProof/>
        </w:rPr>
        <w:fldChar w:fldCharType="begin"/>
      </w:r>
      <w:r>
        <w:rPr>
          <w:noProof/>
        </w:rPr>
        <w:instrText xml:space="preserve"> PAGEREF _Toc516059011 \h </w:instrText>
      </w:r>
      <w:r>
        <w:rPr>
          <w:noProof/>
        </w:rPr>
      </w:r>
      <w:r>
        <w:rPr>
          <w:noProof/>
        </w:rPr>
        <w:fldChar w:fldCharType="separate"/>
      </w:r>
      <w:r>
        <w:rPr>
          <w:noProof/>
        </w:rPr>
        <w:t>17</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3</w:t>
      </w:r>
      <w:r w:rsidRPr="00BC2D27">
        <w:rPr>
          <w:rFonts w:asciiTheme="minorHAnsi" w:hAnsiTheme="minorHAnsi" w:cs="Arial-ItalicMT"/>
          <w:iCs/>
          <w:noProof/>
        </w:rPr>
        <w:t xml:space="preserve"> - Pohyb obyvatelstva v Ostrově</w:t>
      </w:r>
      <w:r>
        <w:rPr>
          <w:noProof/>
        </w:rPr>
        <w:tab/>
      </w:r>
      <w:r>
        <w:rPr>
          <w:noProof/>
        </w:rPr>
        <w:fldChar w:fldCharType="begin"/>
      </w:r>
      <w:r>
        <w:rPr>
          <w:noProof/>
        </w:rPr>
        <w:instrText xml:space="preserve"> PAGEREF _Toc516059012 \h </w:instrText>
      </w:r>
      <w:r>
        <w:rPr>
          <w:noProof/>
        </w:rPr>
      </w:r>
      <w:r>
        <w:rPr>
          <w:noProof/>
        </w:rPr>
        <w:fldChar w:fldCharType="separate"/>
      </w:r>
      <w:r>
        <w:rPr>
          <w:noProof/>
        </w:rPr>
        <w:t>19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4</w:t>
      </w:r>
      <w:r w:rsidRPr="00BC2D27">
        <w:rPr>
          <w:rFonts w:asciiTheme="minorHAnsi" w:hAnsiTheme="minorHAnsi" w:cs="Arial-ItalicMT"/>
          <w:iCs/>
          <w:noProof/>
        </w:rPr>
        <w:t xml:space="preserve"> - Počet obyvatel v obcích ORP Ostrov k 31. 12. 2016</w:t>
      </w:r>
      <w:r>
        <w:rPr>
          <w:noProof/>
        </w:rPr>
        <w:tab/>
      </w:r>
      <w:r>
        <w:rPr>
          <w:noProof/>
        </w:rPr>
        <w:fldChar w:fldCharType="begin"/>
      </w:r>
      <w:r>
        <w:rPr>
          <w:noProof/>
        </w:rPr>
        <w:instrText xml:space="preserve"> PAGEREF _Toc516059013 \h </w:instrText>
      </w:r>
      <w:r>
        <w:rPr>
          <w:noProof/>
        </w:rPr>
      </w:r>
      <w:r>
        <w:rPr>
          <w:noProof/>
        </w:rPr>
        <w:fldChar w:fldCharType="separate"/>
      </w:r>
      <w:r>
        <w:rPr>
          <w:noProof/>
        </w:rPr>
        <w:t>20</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5</w:t>
      </w:r>
      <w:r w:rsidRPr="00BC2D27">
        <w:rPr>
          <w:rFonts w:asciiTheme="minorHAnsi" w:hAnsiTheme="minorHAnsi" w:cs="Arial-ItalicMT"/>
          <w:iCs/>
          <w:noProof/>
        </w:rPr>
        <w:t xml:space="preserve"> - SLDB 2011 Obyvatelstvo ve věku 15 a více let podle vzdělání a index vzdělanosti</w:t>
      </w:r>
      <w:r>
        <w:rPr>
          <w:noProof/>
        </w:rPr>
        <w:tab/>
      </w:r>
      <w:r>
        <w:rPr>
          <w:noProof/>
        </w:rPr>
        <w:fldChar w:fldCharType="begin"/>
      </w:r>
      <w:r>
        <w:rPr>
          <w:noProof/>
        </w:rPr>
        <w:instrText xml:space="preserve"> PAGEREF _Toc516059014 \h </w:instrText>
      </w:r>
      <w:r>
        <w:rPr>
          <w:noProof/>
        </w:rPr>
      </w:r>
      <w:r>
        <w:rPr>
          <w:noProof/>
        </w:rPr>
        <w:fldChar w:fldCharType="separate"/>
      </w:r>
      <w:r>
        <w:rPr>
          <w:noProof/>
        </w:rPr>
        <w:t>24</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6</w:t>
      </w:r>
      <w:r w:rsidRPr="00BC2D27">
        <w:rPr>
          <w:rFonts w:asciiTheme="minorHAnsi" w:hAnsiTheme="minorHAnsi" w:cs="Arial-ItalicMT"/>
          <w:iCs/>
          <w:noProof/>
        </w:rPr>
        <w:t xml:space="preserve"> - Obyvatelstvo podle národnosti v SO ORP Karlovarského kraje</w:t>
      </w:r>
      <w:r>
        <w:rPr>
          <w:noProof/>
        </w:rPr>
        <w:tab/>
      </w:r>
      <w:r>
        <w:rPr>
          <w:noProof/>
        </w:rPr>
        <w:fldChar w:fldCharType="begin"/>
      </w:r>
      <w:r>
        <w:rPr>
          <w:noProof/>
        </w:rPr>
        <w:instrText xml:space="preserve"> PAGEREF _Toc516059015 \h </w:instrText>
      </w:r>
      <w:r>
        <w:rPr>
          <w:noProof/>
        </w:rPr>
      </w:r>
      <w:r>
        <w:rPr>
          <w:noProof/>
        </w:rPr>
        <w:fldChar w:fldCharType="separate"/>
      </w:r>
      <w:r>
        <w:rPr>
          <w:noProof/>
        </w:rPr>
        <w:t>25</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7</w:t>
      </w:r>
      <w:r w:rsidRPr="00BC2D27">
        <w:rPr>
          <w:rFonts w:asciiTheme="minorHAnsi" w:hAnsiTheme="minorHAnsi" w:cs="Arial-ItalicMT"/>
          <w:iCs/>
          <w:noProof/>
        </w:rPr>
        <w:t xml:space="preserve"> - Obyvatelstvo podle státní příslušnosti v SO ORP Karlovarského kraje</w:t>
      </w:r>
      <w:r>
        <w:rPr>
          <w:noProof/>
        </w:rPr>
        <w:tab/>
      </w:r>
      <w:r>
        <w:rPr>
          <w:noProof/>
        </w:rPr>
        <w:fldChar w:fldCharType="begin"/>
      </w:r>
      <w:r>
        <w:rPr>
          <w:noProof/>
        </w:rPr>
        <w:instrText xml:space="preserve"> PAGEREF _Toc516059016 \h </w:instrText>
      </w:r>
      <w:r>
        <w:rPr>
          <w:noProof/>
        </w:rPr>
      </w:r>
      <w:r>
        <w:rPr>
          <w:noProof/>
        </w:rPr>
        <w:fldChar w:fldCharType="separate"/>
      </w:r>
      <w:r>
        <w:rPr>
          <w:noProof/>
        </w:rPr>
        <w:t>25</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8</w:t>
      </w:r>
      <w:r w:rsidRPr="00BC2D27">
        <w:rPr>
          <w:rFonts w:asciiTheme="minorHAnsi" w:hAnsiTheme="minorHAnsi" w:cs="Arial-ItalicMT"/>
          <w:iCs/>
          <w:noProof/>
        </w:rPr>
        <w:t xml:space="preserve"> - Ekonomické subjekty se sídlem na území správního obvodu ORP Ostrov (stav k 31. 12.)</w:t>
      </w:r>
      <w:r>
        <w:rPr>
          <w:noProof/>
        </w:rPr>
        <w:tab/>
      </w:r>
      <w:r>
        <w:rPr>
          <w:noProof/>
        </w:rPr>
        <w:fldChar w:fldCharType="begin"/>
      </w:r>
      <w:r>
        <w:rPr>
          <w:noProof/>
        </w:rPr>
        <w:instrText xml:space="preserve"> PAGEREF _Toc516059017 \h </w:instrText>
      </w:r>
      <w:r>
        <w:rPr>
          <w:noProof/>
        </w:rPr>
      </w:r>
      <w:r>
        <w:rPr>
          <w:noProof/>
        </w:rPr>
        <w:fldChar w:fldCharType="separate"/>
      </w:r>
      <w:r>
        <w:rPr>
          <w:noProof/>
        </w:rPr>
        <w:t>29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9</w:t>
      </w:r>
      <w:r w:rsidRPr="00BC2D27">
        <w:rPr>
          <w:rFonts w:asciiTheme="minorHAnsi" w:hAnsiTheme="minorHAnsi" w:cs="Arial-ItalicMT"/>
          <w:iCs/>
          <w:noProof/>
        </w:rPr>
        <w:t xml:space="preserve"> – Ekonomicky aktivní subjekty se sídlem na území správního obvodu ORP Ostrov (stav k 31. 12.)</w:t>
      </w:r>
      <w:r>
        <w:rPr>
          <w:noProof/>
        </w:rPr>
        <w:tab/>
      </w:r>
      <w:r>
        <w:rPr>
          <w:noProof/>
        </w:rPr>
        <w:fldChar w:fldCharType="begin"/>
      </w:r>
      <w:r>
        <w:rPr>
          <w:noProof/>
        </w:rPr>
        <w:instrText xml:space="preserve"> PAGEREF _Toc516059018 \h </w:instrText>
      </w:r>
      <w:r>
        <w:rPr>
          <w:noProof/>
        </w:rPr>
      </w:r>
      <w:r>
        <w:rPr>
          <w:noProof/>
        </w:rPr>
        <w:fldChar w:fldCharType="separate"/>
      </w:r>
      <w:r>
        <w:rPr>
          <w:noProof/>
        </w:rPr>
        <w:t>30</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10</w:t>
      </w:r>
      <w:r w:rsidRPr="00BC2D27">
        <w:rPr>
          <w:rFonts w:asciiTheme="minorHAnsi" w:hAnsiTheme="minorHAnsi" w:cs="Arial-ItalicMT"/>
          <w:iCs/>
          <w:noProof/>
        </w:rPr>
        <w:t xml:space="preserve"> - Podíl ekonomických subjektů podle vybraných odvětví ekonomické činnosti ve správním obvodu (%) (subjekty ekonomicky aktivní k 31. 12.)</w:t>
      </w:r>
      <w:r>
        <w:rPr>
          <w:noProof/>
        </w:rPr>
        <w:tab/>
      </w:r>
      <w:r>
        <w:rPr>
          <w:noProof/>
        </w:rPr>
        <w:fldChar w:fldCharType="begin"/>
      </w:r>
      <w:r>
        <w:rPr>
          <w:noProof/>
        </w:rPr>
        <w:instrText xml:space="preserve"> PAGEREF _Toc516059019 \h </w:instrText>
      </w:r>
      <w:r>
        <w:rPr>
          <w:noProof/>
        </w:rPr>
      </w:r>
      <w:r>
        <w:rPr>
          <w:noProof/>
        </w:rPr>
        <w:fldChar w:fldCharType="separate"/>
      </w:r>
      <w:r>
        <w:rPr>
          <w:noProof/>
        </w:rPr>
        <w:t>30</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11</w:t>
      </w:r>
      <w:r w:rsidRPr="00BC2D27">
        <w:rPr>
          <w:rFonts w:asciiTheme="minorHAnsi" w:hAnsiTheme="minorHAnsi" w:cs="Arial-ItalicMT"/>
          <w:iCs/>
          <w:noProof/>
        </w:rPr>
        <w:t xml:space="preserve"> – Velikostní struktura podniků v podílu na zaměstnanosti v roce 2014</w:t>
      </w:r>
      <w:r>
        <w:rPr>
          <w:noProof/>
        </w:rPr>
        <w:tab/>
      </w:r>
      <w:r>
        <w:rPr>
          <w:noProof/>
        </w:rPr>
        <w:fldChar w:fldCharType="begin"/>
      </w:r>
      <w:r>
        <w:rPr>
          <w:noProof/>
        </w:rPr>
        <w:instrText xml:space="preserve"> PAGEREF _Toc516059020 \h </w:instrText>
      </w:r>
      <w:r>
        <w:rPr>
          <w:noProof/>
        </w:rPr>
      </w:r>
      <w:r>
        <w:rPr>
          <w:noProof/>
        </w:rPr>
        <w:fldChar w:fldCharType="separate"/>
      </w:r>
      <w:r>
        <w:rPr>
          <w:noProof/>
        </w:rPr>
        <w:t>30</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12</w:t>
      </w:r>
      <w:r w:rsidRPr="00BC2D27">
        <w:rPr>
          <w:rFonts w:asciiTheme="minorHAnsi" w:hAnsiTheme="minorHAnsi" w:cs="Arial-ItalicMT"/>
          <w:iCs/>
          <w:noProof/>
        </w:rPr>
        <w:t xml:space="preserve"> - Porovnání objemu a výkonnosti sektorů hospodářství v Ostrově v roce 2014</w:t>
      </w:r>
      <w:r>
        <w:rPr>
          <w:noProof/>
        </w:rPr>
        <w:tab/>
      </w:r>
      <w:r>
        <w:rPr>
          <w:noProof/>
        </w:rPr>
        <w:fldChar w:fldCharType="begin"/>
      </w:r>
      <w:r>
        <w:rPr>
          <w:noProof/>
        </w:rPr>
        <w:instrText xml:space="preserve"> PAGEREF _Toc516059021 \h </w:instrText>
      </w:r>
      <w:r>
        <w:rPr>
          <w:noProof/>
        </w:rPr>
      </w:r>
      <w:r>
        <w:rPr>
          <w:noProof/>
        </w:rPr>
        <w:fldChar w:fldCharType="separate"/>
      </w:r>
      <w:r>
        <w:rPr>
          <w:noProof/>
        </w:rPr>
        <w:t>32</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13</w:t>
      </w:r>
      <w:r w:rsidRPr="00BC2D27">
        <w:rPr>
          <w:rFonts w:asciiTheme="minorHAnsi" w:hAnsiTheme="minorHAnsi" w:cs="Arial-ItalicMT"/>
          <w:iCs/>
          <w:noProof/>
        </w:rPr>
        <w:t xml:space="preserve"> – Strukturální parametry ekonomické činnosti v roce 2014</w:t>
      </w:r>
      <w:r>
        <w:rPr>
          <w:noProof/>
        </w:rPr>
        <w:tab/>
      </w:r>
      <w:r>
        <w:rPr>
          <w:noProof/>
        </w:rPr>
        <w:fldChar w:fldCharType="begin"/>
      </w:r>
      <w:r>
        <w:rPr>
          <w:noProof/>
        </w:rPr>
        <w:instrText xml:space="preserve"> PAGEREF _Toc516059022 \h </w:instrText>
      </w:r>
      <w:r>
        <w:rPr>
          <w:noProof/>
        </w:rPr>
      </w:r>
      <w:r>
        <w:rPr>
          <w:noProof/>
        </w:rPr>
        <w:fldChar w:fldCharType="separate"/>
      </w:r>
      <w:r>
        <w:rPr>
          <w:noProof/>
        </w:rPr>
        <w:t>33</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14</w:t>
      </w:r>
      <w:r w:rsidRPr="00BC2D27">
        <w:rPr>
          <w:rFonts w:asciiTheme="minorHAnsi" w:hAnsiTheme="minorHAnsi" w:cs="Arial-ItalicMT"/>
          <w:iCs/>
          <w:noProof/>
        </w:rPr>
        <w:t xml:space="preserve"> – Kvalitativní parametry ekonomické výkonnosti v roce 2014</w:t>
      </w:r>
      <w:r>
        <w:rPr>
          <w:noProof/>
        </w:rPr>
        <w:tab/>
      </w:r>
      <w:r>
        <w:rPr>
          <w:noProof/>
        </w:rPr>
        <w:fldChar w:fldCharType="begin"/>
      </w:r>
      <w:r>
        <w:rPr>
          <w:noProof/>
        </w:rPr>
        <w:instrText xml:space="preserve"> PAGEREF _Toc516059023 \h </w:instrText>
      </w:r>
      <w:r>
        <w:rPr>
          <w:noProof/>
        </w:rPr>
      </w:r>
      <w:r>
        <w:rPr>
          <w:noProof/>
        </w:rPr>
        <w:fldChar w:fldCharType="separate"/>
      </w:r>
      <w:r>
        <w:rPr>
          <w:noProof/>
        </w:rPr>
        <w:t>33</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15</w:t>
      </w:r>
      <w:r w:rsidRPr="00BC2D27">
        <w:rPr>
          <w:rFonts w:asciiTheme="minorHAnsi" w:hAnsiTheme="minorHAnsi" w:cs="Arial-ItalicMT"/>
          <w:iCs/>
          <w:noProof/>
        </w:rPr>
        <w:t xml:space="preserve"> - SLDB 2011 Obyvatelstvo podle ekonomické aktivity</w:t>
      </w:r>
      <w:r>
        <w:rPr>
          <w:noProof/>
        </w:rPr>
        <w:tab/>
      </w:r>
      <w:r>
        <w:rPr>
          <w:noProof/>
        </w:rPr>
        <w:fldChar w:fldCharType="begin"/>
      </w:r>
      <w:r>
        <w:rPr>
          <w:noProof/>
        </w:rPr>
        <w:instrText xml:space="preserve"> PAGEREF _Toc516059024 \h </w:instrText>
      </w:r>
      <w:r>
        <w:rPr>
          <w:noProof/>
        </w:rPr>
      </w:r>
      <w:r>
        <w:rPr>
          <w:noProof/>
        </w:rPr>
        <w:fldChar w:fldCharType="separate"/>
      </w:r>
      <w:r>
        <w:rPr>
          <w:noProof/>
        </w:rPr>
        <w:t>34</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16</w:t>
      </w:r>
      <w:r w:rsidRPr="00BC2D27">
        <w:rPr>
          <w:rFonts w:asciiTheme="minorHAnsi" w:hAnsiTheme="minorHAnsi" w:cs="Arial-ItalicMT"/>
          <w:iCs/>
          <w:noProof/>
        </w:rPr>
        <w:t xml:space="preserve"> - Stav zaměstnanosti ve městě Ostrov</w:t>
      </w:r>
      <w:r>
        <w:rPr>
          <w:noProof/>
        </w:rPr>
        <w:tab/>
      </w:r>
      <w:r>
        <w:rPr>
          <w:noProof/>
        </w:rPr>
        <w:fldChar w:fldCharType="begin"/>
      </w:r>
      <w:r>
        <w:rPr>
          <w:noProof/>
        </w:rPr>
        <w:instrText xml:space="preserve"> PAGEREF _Toc516059025 \h </w:instrText>
      </w:r>
      <w:r>
        <w:rPr>
          <w:noProof/>
        </w:rPr>
      </w:r>
      <w:r>
        <w:rPr>
          <w:noProof/>
        </w:rPr>
        <w:fldChar w:fldCharType="separate"/>
      </w:r>
      <w:r>
        <w:rPr>
          <w:noProof/>
        </w:rPr>
        <w:t>34</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17</w:t>
      </w:r>
      <w:r w:rsidRPr="00BC2D27">
        <w:rPr>
          <w:rFonts w:asciiTheme="minorHAnsi" w:hAnsiTheme="minorHAnsi" w:cs="Arial-ItalicMT"/>
          <w:iCs/>
          <w:noProof/>
        </w:rPr>
        <w:t xml:space="preserve"> - Nezaměstnanost v Karlovarském kraji a SO ORP Ostrov k 31. 12. 2016.</w:t>
      </w:r>
      <w:r>
        <w:rPr>
          <w:noProof/>
        </w:rPr>
        <w:tab/>
      </w:r>
      <w:r>
        <w:rPr>
          <w:noProof/>
        </w:rPr>
        <w:fldChar w:fldCharType="begin"/>
      </w:r>
      <w:r>
        <w:rPr>
          <w:noProof/>
        </w:rPr>
        <w:instrText xml:space="preserve"> PAGEREF _Toc516059026 \h </w:instrText>
      </w:r>
      <w:r>
        <w:rPr>
          <w:noProof/>
        </w:rPr>
      </w:r>
      <w:r>
        <w:rPr>
          <w:noProof/>
        </w:rPr>
        <w:fldChar w:fldCharType="separate"/>
      </w:r>
      <w:r>
        <w:rPr>
          <w:noProof/>
        </w:rPr>
        <w:t>35</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18</w:t>
      </w:r>
      <w:r w:rsidRPr="00BC2D27">
        <w:rPr>
          <w:rFonts w:asciiTheme="minorHAnsi" w:hAnsiTheme="minorHAnsi" w:cs="Arial-ItalicMT"/>
          <w:iCs/>
          <w:noProof/>
        </w:rPr>
        <w:t xml:space="preserve"> - Vyjíždějící do zaměstnání a do škol</w:t>
      </w:r>
      <w:r>
        <w:rPr>
          <w:noProof/>
        </w:rPr>
        <w:tab/>
      </w:r>
      <w:r>
        <w:rPr>
          <w:noProof/>
        </w:rPr>
        <w:fldChar w:fldCharType="begin"/>
      </w:r>
      <w:r>
        <w:rPr>
          <w:noProof/>
        </w:rPr>
        <w:instrText xml:space="preserve"> PAGEREF _Toc516059027 \h </w:instrText>
      </w:r>
      <w:r>
        <w:rPr>
          <w:noProof/>
        </w:rPr>
      </w:r>
      <w:r>
        <w:rPr>
          <w:noProof/>
        </w:rPr>
        <w:fldChar w:fldCharType="separate"/>
      </w:r>
      <w:r>
        <w:rPr>
          <w:noProof/>
        </w:rPr>
        <w:t>35</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19</w:t>
      </w:r>
      <w:r w:rsidRPr="00BC2D27">
        <w:rPr>
          <w:rFonts w:asciiTheme="minorHAnsi" w:hAnsiTheme="minorHAnsi" w:cs="Arial-ItalicMT"/>
          <w:iCs/>
          <w:noProof/>
        </w:rPr>
        <w:t xml:space="preserve"> - Ubytovací potenciál a jeho vytíženost</w:t>
      </w:r>
      <w:r>
        <w:rPr>
          <w:noProof/>
        </w:rPr>
        <w:tab/>
      </w:r>
      <w:r>
        <w:rPr>
          <w:noProof/>
        </w:rPr>
        <w:fldChar w:fldCharType="begin"/>
      </w:r>
      <w:r>
        <w:rPr>
          <w:noProof/>
        </w:rPr>
        <w:instrText xml:space="preserve"> PAGEREF _Toc516059028 \h </w:instrText>
      </w:r>
      <w:r>
        <w:rPr>
          <w:noProof/>
        </w:rPr>
      </w:r>
      <w:r>
        <w:rPr>
          <w:noProof/>
        </w:rPr>
        <w:fldChar w:fldCharType="separate"/>
      </w:r>
      <w:r>
        <w:rPr>
          <w:noProof/>
        </w:rPr>
        <w:t>36</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20</w:t>
      </w:r>
      <w:r w:rsidRPr="00BC2D27">
        <w:rPr>
          <w:rFonts w:asciiTheme="minorHAnsi" w:hAnsiTheme="minorHAnsi" w:cs="Arial-ItalicMT"/>
          <w:iCs/>
          <w:noProof/>
        </w:rPr>
        <w:t xml:space="preserve"> – Strukturální parametry ekonomické činnosti v oblasti cestovního ruchu v roce 2014</w:t>
      </w:r>
      <w:r>
        <w:rPr>
          <w:noProof/>
        </w:rPr>
        <w:tab/>
      </w:r>
      <w:r>
        <w:rPr>
          <w:noProof/>
        </w:rPr>
        <w:fldChar w:fldCharType="begin"/>
      </w:r>
      <w:r>
        <w:rPr>
          <w:noProof/>
        </w:rPr>
        <w:instrText xml:space="preserve"> PAGEREF _Toc516059029 \h </w:instrText>
      </w:r>
      <w:r>
        <w:rPr>
          <w:noProof/>
        </w:rPr>
      </w:r>
      <w:r>
        <w:rPr>
          <w:noProof/>
        </w:rPr>
        <w:fldChar w:fldCharType="separate"/>
      </w:r>
      <w:r>
        <w:rPr>
          <w:noProof/>
        </w:rPr>
        <w:t>36</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21</w:t>
      </w:r>
      <w:r w:rsidRPr="00BC2D27">
        <w:rPr>
          <w:rFonts w:asciiTheme="minorHAnsi" w:hAnsiTheme="minorHAnsi" w:cs="Arial-ItalicMT"/>
          <w:iCs/>
          <w:noProof/>
        </w:rPr>
        <w:t xml:space="preserve"> – </w:t>
      </w:r>
      <w:r w:rsidRPr="00BC2D27">
        <w:rPr>
          <w:rFonts w:cs="Arial-ItalicMT"/>
          <w:iCs/>
          <w:noProof/>
        </w:rPr>
        <w:t>Trvale obydlené domy (SLBD 1991, 2001, 2011)</w:t>
      </w:r>
      <w:r>
        <w:rPr>
          <w:noProof/>
        </w:rPr>
        <w:tab/>
      </w:r>
      <w:r>
        <w:rPr>
          <w:noProof/>
        </w:rPr>
        <w:fldChar w:fldCharType="begin"/>
      </w:r>
      <w:r>
        <w:rPr>
          <w:noProof/>
        </w:rPr>
        <w:instrText xml:space="preserve"> PAGEREF _Toc516059030 \h </w:instrText>
      </w:r>
      <w:r>
        <w:rPr>
          <w:noProof/>
        </w:rPr>
      </w:r>
      <w:r>
        <w:rPr>
          <w:noProof/>
        </w:rPr>
        <w:fldChar w:fldCharType="separate"/>
      </w:r>
      <w:r>
        <w:rPr>
          <w:noProof/>
        </w:rPr>
        <w:t>51</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22</w:t>
      </w:r>
      <w:r w:rsidRPr="00BC2D27">
        <w:rPr>
          <w:rFonts w:asciiTheme="minorHAnsi" w:hAnsiTheme="minorHAnsi" w:cs="Arial-ItalicMT"/>
          <w:iCs/>
          <w:noProof/>
        </w:rPr>
        <w:t xml:space="preserve"> – </w:t>
      </w:r>
      <w:r w:rsidRPr="00BC2D27">
        <w:rPr>
          <w:rFonts w:cs="Arial-ItalicMT"/>
          <w:iCs/>
          <w:noProof/>
        </w:rPr>
        <w:t>Bytový fond (SLBD 1991, 2001, 2011)</w:t>
      </w:r>
      <w:r>
        <w:rPr>
          <w:noProof/>
        </w:rPr>
        <w:tab/>
      </w:r>
      <w:r>
        <w:rPr>
          <w:noProof/>
        </w:rPr>
        <w:fldChar w:fldCharType="begin"/>
      </w:r>
      <w:r>
        <w:rPr>
          <w:noProof/>
        </w:rPr>
        <w:instrText xml:space="preserve"> PAGEREF _Toc516059031 \h </w:instrText>
      </w:r>
      <w:r>
        <w:rPr>
          <w:noProof/>
        </w:rPr>
      </w:r>
      <w:r>
        <w:rPr>
          <w:noProof/>
        </w:rPr>
        <w:fldChar w:fldCharType="separate"/>
      </w:r>
      <w:r>
        <w:rPr>
          <w:noProof/>
        </w:rPr>
        <w:t>51</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lastRenderedPageBreak/>
        <w:t>Tabulka č. 23</w:t>
      </w:r>
      <w:r w:rsidRPr="00BC2D27">
        <w:rPr>
          <w:rFonts w:asciiTheme="minorHAnsi" w:hAnsiTheme="minorHAnsi" w:cs="Arial-ItalicMT"/>
          <w:iCs/>
          <w:noProof/>
        </w:rPr>
        <w:t xml:space="preserve"> – </w:t>
      </w:r>
      <w:r w:rsidRPr="00BC2D27">
        <w:rPr>
          <w:rFonts w:cs="Arial-ItalicMT"/>
          <w:iCs/>
          <w:noProof/>
        </w:rPr>
        <w:t>Kvalitativní ukazatele bytového fondu v porovnání s okresem, krajem a ČR</w:t>
      </w:r>
      <w:r>
        <w:rPr>
          <w:noProof/>
        </w:rPr>
        <w:tab/>
      </w:r>
      <w:r>
        <w:rPr>
          <w:noProof/>
        </w:rPr>
        <w:fldChar w:fldCharType="begin"/>
      </w:r>
      <w:r>
        <w:rPr>
          <w:noProof/>
        </w:rPr>
        <w:instrText xml:space="preserve"> PAGEREF _Toc516059032 \h </w:instrText>
      </w:r>
      <w:r>
        <w:rPr>
          <w:noProof/>
        </w:rPr>
      </w:r>
      <w:r>
        <w:rPr>
          <w:noProof/>
        </w:rPr>
        <w:fldChar w:fldCharType="separate"/>
      </w:r>
      <w:r>
        <w:rPr>
          <w:noProof/>
        </w:rPr>
        <w:t>52</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24</w:t>
      </w:r>
      <w:r w:rsidRPr="00BC2D27">
        <w:rPr>
          <w:rFonts w:asciiTheme="minorHAnsi" w:hAnsiTheme="minorHAnsi" w:cs="Arial-ItalicMT"/>
          <w:iCs/>
          <w:noProof/>
        </w:rPr>
        <w:t xml:space="preserve"> – </w:t>
      </w:r>
      <w:r w:rsidRPr="00BC2D27">
        <w:rPr>
          <w:rFonts w:cs="Arial-ItalicMT"/>
          <w:iCs/>
          <w:noProof/>
        </w:rPr>
        <w:t>Byty v majetku města Ostrov</w:t>
      </w:r>
      <w:r>
        <w:rPr>
          <w:noProof/>
        </w:rPr>
        <w:tab/>
      </w:r>
      <w:r>
        <w:rPr>
          <w:noProof/>
        </w:rPr>
        <w:fldChar w:fldCharType="begin"/>
      </w:r>
      <w:r>
        <w:rPr>
          <w:noProof/>
        </w:rPr>
        <w:instrText xml:space="preserve"> PAGEREF _Toc516059033 \h </w:instrText>
      </w:r>
      <w:r>
        <w:rPr>
          <w:noProof/>
        </w:rPr>
      </w:r>
      <w:r>
        <w:rPr>
          <w:noProof/>
        </w:rPr>
        <w:fldChar w:fldCharType="separate"/>
      </w:r>
      <w:r>
        <w:rPr>
          <w:noProof/>
        </w:rPr>
        <w:t>52</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25</w:t>
      </w:r>
      <w:r w:rsidRPr="00BC2D27">
        <w:rPr>
          <w:rFonts w:asciiTheme="minorHAnsi" w:hAnsiTheme="minorHAnsi" w:cs="Arial-ItalicMT"/>
          <w:iCs/>
          <w:noProof/>
        </w:rPr>
        <w:t xml:space="preserve"> – </w:t>
      </w:r>
      <w:r w:rsidRPr="00BC2D27">
        <w:rPr>
          <w:rFonts w:cs="Arial-ItalicMT"/>
          <w:iCs/>
          <w:noProof/>
        </w:rPr>
        <w:t>Kapacity a obsazenost předškolního a základního školství</w:t>
      </w:r>
      <w:r>
        <w:rPr>
          <w:noProof/>
        </w:rPr>
        <w:tab/>
      </w:r>
      <w:r>
        <w:rPr>
          <w:noProof/>
        </w:rPr>
        <w:fldChar w:fldCharType="begin"/>
      </w:r>
      <w:r>
        <w:rPr>
          <w:noProof/>
        </w:rPr>
        <w:instrText xml:space="preserve"> PAGEREF _Toc516059034 \h </w:instrText>
      </w:r>
      <w:r>
        <w:rPr>
          <w:noProof/>
        </w:rPr>
      </w:r>
      <w:r>
        <w:rPr>
          <w:noProof/>
        </w:rPr>
        <w:fldChar w:fldCharType="separate"/>
      </w:r>
      <w:r>
        <w:rPr>
          <w:noProof/>
        </w:rPr>
        <w:t>53</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26</w:t>
      </w:r>
      <w:r w:rsidRPr="00BC2D27">
        <w:rPr>
          <w:rFonts w:asciiTheme="minorHAnsi" w:hAnsiTheme="minorHAnsi" w:cs="Arial-ItalicMT"/>
          <w:iCs/>
          <w:noProof/>
        </w:rPr>
        <w:t xml:space="preserve"> – </w:t>
      </w:r>
      <w:r w:rsidRPr="00BC2D27">
        <w:rPr>
          <w:rFonts w:cs="Arial-ItalicMT"/>
          <w:iCs/>
          <w:noProof/>
        </w:rPr>
        <w:t>Poskytovatelé sociálních služeb</w:t>
      </w:r>
      <w:r>
        <w:rPr>
          <w:noProof/>
        </w:rPr>
        <w:tab/>
      </w:r>
      <w:r>
        <w:rPr>
          <w:noProof/>
        </w:rPr>
        <w:fldChar w:fldCharType="begin"/>
      </w:r>
      <w:r>
        <w:rPr>
          <w:noProof/>
        </w:rPr>
        <w:instrText xml:space="preserve"> PAGEREF _Toc516059035 \h </w:instrText>
      </w:r>
      <w:r>
        <w:rPr>
          <w:noProof/>
        </w:rPr>
      </w:r>
      <w:r>
        <w:rPr>
          <w:noProof/>
        </w:rPr>
        <w:fldChar w:fldCharType="separate"/>
      </w:r>
      <w:r>
        <w:rPr>
          <w:noProof/>
        </w:rPr>
        <w:t>54</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27</w:t>
      </w:r>
      <w:r w:rsidRPr="00BC2D27">
        <w:rPr>
          <w:rFonts w:asciiTheme="minorHAnsi" w:hAnsiTheme="minorHAnsi" w:cs="Arial-ItalicMT"/>
          <w:iCs/>
          <w:noProof/>
        </w:rPr>
        <w:t xml:space="preserve"> – </w:t>
      </w:r>
      <w:r w:rsidRPr="00BC2D27">
        <w:rPr>
          <w:rFonts w:cs="Arial-ItalicMT"/>
          <w:iCs/>
          <w:noProof/>
        </w:rPr>
        <w:t>Nemovité kulturní památky</w:t>
      </w:r>
      <w:r>
        <w:rPr>
          <w:noProof/>
        </w:rPr>
        <w:tab/>
      </w:r>
      <w:r>
        <w:rPr>
          <w:noProof/>
        </w:rPr>
        <w:fldChar w:fldCharType="begin"/>
      </w:r>
      <w:r>
        <w:rPr>
          <w:noProof/>
        </w:rPr>
        <w:instrText xml:space="preserve"> PAGEREF _Toc516059036 \h </w:instrText>
      </w:r>
      <w:r>
        <w:rPr>
          <w:noProof/>
        </w:rPr>
      </w:r>
      <w:r>
        <w:rPr>
          <w:noProof/>
        </w:rPr>
        <w:fldChar w:fldCharType="separate"/>
      </w:r>
      <w:r>
        <w:rPr>
          <w:noProof/>
        </w:rPr>
        <w:t>56</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28</w:t>
      </w:r>
      <w:r w:rsidRPr="00BC2D27">
        <w:rPr>
          <w:rFonts w:asciiTheme="minorHAnsi" w:hAnsiTheme="minorHAnsi" w:cs="Arial-ItalicMT"/>
          <w:iCs/>
          <w:noProof/>
        </w:rPr>
        <w:t xml:space="preserve"> – </w:t>
      </w:r>
      <w:r w:rsidRPr="00BC2D27">
        <w:rPr>
          <w:rFonts w:cs="Arial-ItalicMT"/>
          <w:iCs/>
          <w:noProof/>
        </w:rPr>
        <w:t>Výměra jednotlivých druhů pozemků (ha)</w:t>
      </w:r>
      <w:r>
        <w:rPr>
          <w:noProof/>
        </w:rPr>
        <w:tab/>
      </w:r>
      <w:r>
        <w:rPr>
          <w:noProof/>
        </w:rPr>
        <w:fldChar w:fldCharType="begin"/>
      </w:r>
      <w:r>
        <w:rPr>
          <w:noProof/>
        </w:rPr>
        <w:instrText xml:space="preserve"> PAGEREF _Toc516059037 \h </w:instrText>
      </w:r>
      <w:r>
        <w:rPr>
          <w:noProof/>
        </w:rPr>
      </w:r>
      <w:r>
        <w:rPr>
          <w:noProof/>
        </w:rPr>
        <w:fldChar w:fldCharType="separate"/>
      </w:r>
      <w:r>
        <w:rPr>
          <w:noProof/>
        </w:rPr>
        <w:t>64</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29</w:t>
      </w:r>
      <w:r w:rsidRPr="00BC2D27">
        <w:rPr>
          <w:rFonts w:asciiTheme="minorHAnsi" w:hAnsiTheme="minorHAnsi" w:cs="Arial-ItalicMT"/>
          <w:iCs/>
          <w:noProof/>
        </w:rPr>
        <w:t xml:space="preserve"> - Vývoj hospodaření města</w:t>
      </w:r>
      <w:r>
        <w:rPr>
          <w:noProof/>
        </w:rPr>
        <w:tab/>
      </w:r>
      <w:r>
        <w:rPr>
          <w:noProof/>
        </w:rPr>
        <w:fldChar w:fldCharType="begin"/>
      </w:r>
      <w:r>
        <w:rPr>
          <w:noProof/>
        </w:rPr>
        <w:instrText xml:space="preserve"> PAGEREF _Toc516059038 \h </w:instrText>
      </w:r>
      <w:r>
        <w:rPr>
          <w:noProof/>
        </w:rPr>
      </w:r>
      <w:r>
        <w:rPr>
          <w:noProof/>
        </w:rPr>
        <w:fldChar w:fldCharType="separate"/>
      </w:r>
      <w:r>
        <w:rPr>
          <w:noProof/>
        </w:rPr>
        <w:t>76</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30</w:t>
      </w:r>
      <w:r w:rsidRPr="00BC2D27">
        <w:rPr>
          <w:rFonts w:asciiTheme="minorHAnsi" w:hAnsiTheme="minorHAnsi" w:cs="Arial-ItalicMT"/>
          <w:iCs/>
          <w:noProof/>
        </w:rPr>
        <w:t xml:space="preserve"> - Počty evidovaných přestupků MP v období 1.1. - 31.12. v k.ú. města Ostrov</w:t>
      </w:r>
      <w:r>
        <w:rPr>
          <w:noProof/>
        </w:rPr>
        <w:tab/>
      </w:r>
      <w:r>
        <w:rPr>
          <w:noProof/>
        </w:rPr>
        <w:fldChar w:fldCharType="begin"/>
      </w:r>
      <w:r>
        <w:rPr>
          <w:noProof/>
        </w:rPr>
        <w:instrText xml:space="preserve"> PAGEREF _Toc516059039 \h </w:instrText>
      </w:r>
      <w:r>
        <w:rPr>
          <w:noProof/>
        </w:rPr>
      </w:r>
      <w:r>
        <w:rPr>
          <w:noProof/>
        </w:rPr>
        <w:fldChar w:fldCharType="separate"/>
      </w:r>
      <w:r>
        <w:rPr>
          <w:noProof/>
        </w:rPr>
        <w:t>78</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31</w:t>
      </w:r>
      <w:r w:rsidRPr="00BC2D27">
        <w:rPr>
          <w:rFonts w:asciiTheme="minorHAnsi" w:hAnsiTheme="minorHAnsi" w:cs="Arial-ItalicMT"/>
          <w:iCs/>
          <w:noProof/>
        </w:rPr>
        <w:t xml:space="preserve"> - Počty evidovaných přestupků PČR v období 1.1. - 31.12. v k.ú. města Ostrov</w:t>
      </w:r>
      <w:r>
        <w:rPr>
          <w:noProof/>
        </w:rPr>
        <w:tab/>
      </w:r>
      <w:r>
        <w:rPr>
          <w:noProof/>
        </w:rPr>
        <w:fldChar w:fldCharType="begin"/>
      </w:r>
      <w:r>
        <w:rPr>
          <w:noProof/>
        </w:rPr>
        <w:instrText xml:space="preserve"> PAGEREF _Toc516059040 \h </w:instrText>
      </w:r>
      <w:r>
        <w:rPr>
          <w:noProof/>
        </w:rPr>
      </w:r>
      <w:r>
        <w:rPr>
          <w:noProof/>
        </w:rPr>
        <w:fldChar w:fldCharType="separate"/>
      </w:r>
      <w:r>
        <w:rPr>
          <w:noProof/>
        </w:rPr>
        <w:t>78</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32</w:t>
      </w:r>
      <w:r w:rsidRPr="00BC2D27">
        <w:rPr>
          <w:rFonts w:asciiTheme="minorHAnsi" w:hAnsiTheme="minorHAnsi" w:cs="Arial-ItalicMT"/>
          <w:iCs/>
          <w:noProof/>
        </w:rPr>
        <w:t xml:space="preserve"> - Pachatelé trestních činů, přijatých na OOP ČR v období 1.1.-31.12. v k.ú. města Ostrov</w:t>
      </w:r>
      <w:r>
        <w:rPr>
          <w:noProof/>
        </w:rPr>
        <w:tab/>
      </w:r>
      <w:r>
        <w:rPr>
          <w:noProof/>
        </w:rPr>
        <w:fldChar w:fldCharType="begin"/>
      </w:r>
      <w:r>
        <w:rPr>
          <w:noProof/>
        </w:rPr>
        <w:instrText xml:space="preserve"> PAGEREF _Toc516059041 \h </w:instrText>
      </w:r>
      <w:r>
        <w:rPr>
          <w:noProof/>
        </w:rPr>
      </w:r>
      <w:r>
        <w:rPr>
          <w:noProof/>
        </w:rPr>
        <w:fldChar w:fldCharType="separate"/>
      </w:r>
      <w:r>
        <w:rPr>
          <w:noProof/>
        </w:rPr>
        <w:t>79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33</w:t>
      </w:r>
      <w:r w:rsidRPr="00BC2D27">
        <w:rPr>
          <w:rFonts w:asciiTheme="minorHAnsi" w:hAnsiTheme="minorHAnsi" w:cs="Arial-ItalicMT"/>
          <w:iCs/>
          <w:noProof/>
        </w:rPr>
        <w:t xml:space="preserve"> - Oběti trestních činů, přijatých na OOP ČR v období 1.1.-31.12. v k.ú. města Ostrov</w:t>
      </w:r>
      <w:r>
        <w:rPr>
          <w:noProof/>
        </w:rPr>
        <w:tab/>
      </w:r>
      <w:r>
        <w:rPr>
          <w:noProof/>
        </w:rPr>
        <w:fldChar w:fldCharType="begin"/>
      </w:r>
      <w:r>
        <w:rPr>
          <w:noProof/>
        </w:rPr>
        <w:instrText xml:space="preserve"> PAGEREF _Toc516059042 \h </w:instrText>
      </w:r>
      <w:r>
        <w:rPr>
          <w:noProof/>
        </w:rPr>
      </w:r>
      <w:r>
        <w:rPr>
          <w:noProof/>
        </w:rPr>
        <w:fldChar w:fldCharType="separate"/>
      </w:r>
      <w:r>
        <w:rPr>
          <w:noProof/>
        </w:rPr>
        <w:t>79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C2D27">
        <w:rPr>
          <w:rFonts w:asciiTheme="minorHAnsi" w:hAnsiTheme="minorHAnsi" w:cs="Arial-ItalicMT"/>
          <w:b/>
          <w:bCs/>
          <w:iCs/>
          <w:noProof/>
          <w:color w:val="372C74"/>
          <w:spacing w:val="10"/>
        </w:rPr>
        <w:t>Tabulka č. 34</w:t>
      </w:r>
      <w:r w:rsidRPr="00BC2D27">
        <w:rPr>
          <w:rFonts w:asciiTheme="minorHAnsi" w:hAnsiTheme="minorHAnsi" w:cs="Arial-ItalicMT"/>
          <w:iCs/>
          <w:noProof/>
        </w:rPr>
        <w:t xml:space="preserve"> – Kriminální činy spáchané v letech 2014 až 2017 v Karlovarském kraji a v k.ú. města Ostrov</w:t>
      </w:r>
      <w:r>
        <w:rPr>
          <w:noProof/>
        </w:rPr>
        <w:tab/>
      </w:r>
      <w:r>
        <w:rPr>
          <w:noProof/>
        </w:rPr>
        <w:fldChar w:fldCharType="begin"/>
      </w:r>
      <w:r>
        <w:rPr>
          <w:noProof/>
        </w:rPr>
        <w:instrText xml:space="preserve"> PAGEREF _Toc516059043 \h </w:instrText>
      </w:r>
      <w:r>
        <w:rPr>
          <w:noProof/>
        </w:rPr>
      </w:r>
      <w:r>
        <w:rPr>
          <w:noProof/>
        </w:rPr>
        <w:fldChar w:fldCharType="separate"/>
      </w:r>
      <w:r>
        <w:rPr>
          <w:noProof/>
        </w:rPr>
        <w:t>80</w:t>
      </w:r>
      <w:r>
        <w:rPr>
          <w:noProof/>
        </w:rPr>
        <w:fldChar w:fldCharType="end"/>
      </w:r>
    </w:p>
    <w:p w:rsidR="00D82C5F" w:rsidRDefault="005B55A2" w:rsidP="00D82C5F">
      <w:r>
        <w:fldChar w:fldCharType="end"/>
      </w:r>
    </w:p>
    <w:p w:rsidR="007D607E" w:rsidRDefault="007D607E">
      <w:pPr>
        <w:spacing w:before="0" w:after="0" w:line="240" w:lineRule="auto"/>
        <w:jc w:val="left"/>
        <w:rPr>
          <w:b/>
          <w:bCs/>
          <w:color w:val="372C74"/>
          <w:spacing w:val="20"/>
          <w:sz w:val="28"/>
          <w:szCs w:val="22"/>
        </w:rPr>
      </w:pPr>
      <w:bookmarkStart w:id="152" w:name="_Toc387067074"/>
      <w:r>
        <w:br w:type="page"/>
      </w:r>
    </w:p>
    <w:p w:rsidR="00D82C5F" w:rsidRDefault="00D82C5F" w:rsidP="00D82C5F">
      <w:pPr>
        <w:pStyle w:val="Nadpis1"/>
        <w:spacing w:before="120" w:after="120" w:line="240" w:lineRule="auto"/>
      </w:pPr>
      <w:bookmarkStart w:id="153" w:name="_Toc387067075"/>
      <w:bookmarkStart w:id="154" w:name="_Toc516058346"/>
      <w:bookmarkEnd w:id="152"/>
      <w:r>
        <w:lastRenderedPageBreak/>
        <w:t>Seznam obrázků</w:t>
      </w:r>
      <w:bookmarkEnd w:id="153"/>
      <w:bookmarkEnd w:id="154"/>
    </w:p>
    <w:p w:rsidR="009B5674" w:rsidRDefault="005B55A2">
      <w:pPr>
        <w:pStyle w:val="Seznamobrzk"/>
        <w:tabs>
          <w:tab w:val="right" w:leader="dot" w:pos="9302"/>
        </w:tabs>
        <w:rPr>
          <w:rFonts w:asciiTheme="minorHAnsi" w:eastAsiaTheme="minorEastAsia" w:hAnsiTheme="minorHAnsi" w:cstheme="minorBidi"/>
          <w:noProof/>
          <w:spacing w:val="0"/>
          <w:szCs w:val="22"/>
          <w:lang w:eastAsia="cs-CZ" w:bidi="ar-SA"/>
        </w:rPr>
      </w:pPr>
      <w:r>
        <w:rPr>
          <w:rFonts w:cs="Arial-ItalicMT"/>
          <w:i/>
          <w:iCs/>
          <w:szCs w:val="22"/>
        </w:rPr>
        <w:fldChar w:fldCharType="begin"/>
      </w:r>
      <w:r w:rsidR="00D82C5F">
        <w:rPr>
          <w:rFonts w:cs="Arial-ItalicMT"/>
          <w:i/>
          <w:iCs/>
          <w:szCs w:val="22"/>
        </w:rPr>
        <w:instrText xml:space="preserve"> TOC \c "Obrázek č. " </w:instrText>
      </w:r>
      <w:r>
        <w:rPr>
          <w:rFonts w:cs="Arial-ItalicMT"/>
          <w:i/>
          <w:iCs/>
          <w:szCs w:val="22"/>
        </w:rPr>
        <w:fldChar w:fldCharType="separate"/>
      </w:r>
      <w:r w:rsidR="009B5674" w:rsidRPr="00B16FF3">
        <w:rPr>
          <w:rFonts w:cs="Arial-ItalicMT"/>
          <w:b/>
          <w:bCs/>
          <w:iCs/>
          <w:noProof/>
          <w:color w:val="372C74"/>
          <w:spacing w:val="10"/>
        </w:rPr>
        <w:t>Obrázek č. 1</w:t>
      </w:r>
      <w:r w:rsidR="009B5674" w:rsidRPr="00B16FF3">
        <w:rPr>
          <w:rFonts w:cs="Arial-ItalicMT"/>
          <w:iCs/>
          <w:noProof/>
        </w:rPr>
        <w:t xml:space="preserve"> - </w:t>
      </w:r>
      <w:r w:rsidR="009B5674" w:rsidRPr="00B16FF3">
        <w:rPr>
          <w:rFonts w:asciiTheme="majorHAnsi" w:hAnsiTheme="majorHAnsi"/>
          <w:noProof/>
        </w:rPr>
        <w:t>Zjednodušená mapa Ostrova (1:50 000)</w:t>
      </w:r>
      <w:r w:rsidR="009B5674">
        <w:rPr>
          <w:noProof/>
        </w:rPr>
        <w:tab/>
      </w:r>
      <w:r w:rsidR="009B5674">
        <w:rPr>
          <w:noProof/>
        </w:rPr>
        <w:fldChar w:fldCharType="begin"/>
      </w:r>
      <w:r w:rsidR="009B5674">
        <w:rPr>
          <w:noProof/>
        </w:rPr>
        <w:instrText xml:space="preserve"> PAGEREF _Toc516058966 \h </w:instrText>
      </w:r>
      <w:r w:rsidR="009B5674">
        <w:rPr>
          <w:noProof/>
        </w:rPr>
      </w:r>
      <w:r w:rsidR="009B5674">
        <w:rPr>
          <w:noProof/>
        </w:rPr>
        <w:fldChar w:fldCharType="separate"/>
      </w:r>
      <w:r w:rsidR="009B5674">
        <w:rPr>
          <w:noProof/>
        </w:rPr>
        <w:t>5</w:t>
      </w:r>
      <w:r w:rsidR="009B5674">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w:t>
      </w:r>
      <w:r w:rsidRPr="00B16FF3">
        <w:rPr>
          <w:rFonts w:cs="Arial-ItalicMT"/>
          <w:iCs/>
          <w:noProof/>
        </w:rPr>
        <w:t xml:space="preserve"> – </w:t>
      </w:r>
      <w:r>
        <w:rPr>
          <w:noProof/>
        </w:rPr>
        <w:t>Horninové prostředí města Ostrov</w:t>
      </w:r>
      <w:r>
        <w:rPr>
          <w:noProof/>
        </w:rPr>
        <w:tab/>
      </w:r>
      <w:r>
        <w:rPr>
          <w:noProof/>
        </w:rPr>
        <w:fldChar w:fldCharType="begin"/>
      </w:r>
      <w:r>
        <w:rPr>
          <w:noProof/>
        </w:rPr>
        <w:instrText xml:space="preserve"> PAGEREF _Toc516058967 \h </w:instrText>
      </w:r>
      <w:r>
        <w:rPr>
          <w:noProof/>
        </w:rPr>
      </w:r>
      <w:r>
        <w:rPr>
          <w:noProof/>
        </w:rPr>
        <w:fldChar w:fldCharType="separate"/>
      </w:r>
      <w:r>
        <w:rPr>
          <w:noProof/>
        </w:rPr>
        <w:t>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w:t>
      </w:r>
      <w:r w:rsidRPr="00B16FF3">
        <w:rPr>
          <w:rFonts w:cs="Arial-ItalicMT"/>
          <w:iCs/>
          <w:noProof/>
        </w:rPr>
        <w:t xml:space="preserve"> – </w:t>
      </w:r>
      <w:r>
        <w:rPr>
          <w:noProof/>
        </w:rPr>
        <w:t>Klimatické oblasti</w:t>
      </w:r>
      <w:r>
        <w:rPr>
          <w:noProof/>
        </w:rPr>
        <w:tab/>
      </w:r>
      <w:r>
        <w:rPr>
          <w:noProof/>
        </w:rPr>
        <w:fldChar w:fldCharType="begin"/>
      </w:r>
      <w:r>
        <w:rPr>
          <w:noProof/>
        </w:rPr>
        <w:instrText xml:space="preserve"> PAGEREF _Toc516058968 \h </w:instrText>
      </w:r>
      <w:r>
        <w:rPr>
          <w:noProof/>
        </w:rPr>
      </w:r>
      <w:r>
        <w:rPr>
          <w:noProof/>
        </w:rPr>
        <w:fldChar w:fldCharType="separate"/>
      </w:r>
      <w:r>
        <w:rPr>
          <w:noProof/>
        </w:rPr>
        <w:t>10</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4</w:t>
      </w:r>
      <w:r w:rsidRPr="00B16FF3">
        <w:rPr>
          <w:rFonts w:cs="Arial-ItalicMT"/>
          <w:iCs/>
          <w:noProof/>
        </w:rPr>
        <w:t xml:space="preserve"> – </w:t>
      </w:r>
      <w:r>
        <w:rPr>
          <w:noProof/>
        </w:rPr>
        <w:t>Povodí IV. řádu</w:t>
      </w:r>
      <w:r>
        <w:rPr>
          <w:noProof/>
        </w:rPr>
        <w:tab/>
      </w:r>
      <w:r>
        <w:rPr>
          <w:noProof/>
        </w:rPr>
        <w:fldChar w:fldCharType="begin"/>
      </w:r>
      <w:r>
        <w:rPr>
          <w:noProof/>
        </w:rPr>
        <w:instrText xml:space="preserve"> PAGEREF _Toc516058969 \h </w:instrText>
      </w:r>
      <w:r>
        <w:rPr>
          <w:noProof/>
        </w:rPr>
      </w:r>
      <w:r>
        <w:rPr>
          <w:noProof/>
        </w:rPr>
        <w:fldChar w:fldCharType="separate"/>
      </w:r>
      <w:r>
        <w:rPr>
          <w:noProof/>
        </w:rPr>
        <w:t>11</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5</w:t>
      </w:r>
      <w:r w:rsidRPr="00B16FF3">
        <w:rPr>
          <w:rFonts w:cs="Arial-ItalicMT"/>
          <w:iCs/>
          <w:noProof/>
        </w:rPr>
        <w:t xml:space="preserve"> – </w:t>
      </w:r>
      <w:r>
        <w:rPr>
          <w:noProof/>
        </w:rPr>
        <w:t>Záplavové území, aktivní zóny</w:t>
      </w:r>
      <w:r>
        <w:rPr>
          <w:noProof/>
        </w:rPr>
        <w:tab/>
      </w:r>
      <w:r>
        <w:rPr>
          <w:noProof/>
        </w:rPr>
        <w:fldChar w:fldCharType="begin"/>
      </w:r>
      <w:r>
        <w:rPr>
          <w:noProof/>
        </w:rPr>
        <w:instrText xml:space="preserve"> PAGEREF _Toc516058970 \h </w:instrText>
      </w:r>
      <w:r>
        <w:rPr>
          <w:noProof/>
        </w:rPr>
      </w:r>
      <w:r>
        <w:rPr>
          <w:noProof/>
        </w:rPr>
        <w:fldChar w:fldCharType="separate"/>
      </w:r>
      <w:r>
        <w:rPr>
          <w:noProof/>
        </w:rPr>
        <w:t>11</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6</w:t>
      </w:r>
      <w:r w:rsidRPr="00B16FF3">
        <w:rPr>
          <w:rFonts w:cs="Arial-ItalicMT"/>
          <w:iCs/>
          <w:noProof/>
        </w:rPr>
        <w:t xml:space="preserve"> – </w:t>
      </w:r>
      <w:r>
        <w:rPr>
          <w:noProof/>
        </w:rPr>
        <w:t>Chráněné oblasti přirozené akumulace vod</w:t>
      </w:r>
      <w:r>
        <w:rPr>
          <w:noProof/>
        </w:rPr>
        <w:tab/>
      </w:r>
      <w:r>
        <w:rPr>
          <w:noProof/>
        </w:rPr>
        <w:fldChar w:fldCharType="begin"/>
      </w:r>
      <w:r>
        <w:rPr>
          <w:noProof/>
        </w:rPr>
        <w:instrText xml:space="preserve"> PAGEREF _Toc516058971 \h </w:instrText>
      </w:r>
      <w:r>
        <w:rPr>
          <w:noProof/>
        </w:rPr>
      </w:r>
      <w:r>
        <w:rPr>
          <w:noProof/>
        </w:rPr>
        <w:fldChar w:fldCharType="separate"/>
      </w:r>
      <w:r>
        <w:rPr>
          <w:noProof/>
        </w:rPr>
        <w:t>11</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7</w:t>
      </w:r>
      <w:r w:rsidRPr="00B16FF3">
        <w:rPr>
          <w:rFonts w:cs="Arial-ItalicMT"/>
          <w:iCs/>
          <w:noProof/>
        </w:rPr>
        <w:t xml:space="preserve"> – </w:t>
      </w:r>
      <w:r>
        <w:rPr>
          <w:noProof/>
        </w:rPr>
        <w:t>OP přírodních léčivých zdrojů</w:t>
      </w:r>
      <w:r>
        <w:rPr>
          <w:noProof/>
        </w:rPr>
        <w:tab/>
      </w:r>
      <w:r>
        <w:rPr>
          <w:noProof/>
        </w:rPr>
        <w:fldChar w:fldCharType="begin"/>
      </w:r>
      <w:r>
        <w:rPr>
          <w:noProof/>
        </w:rPr>
        <w:instrText xml:space="preserve"> PAGEREF _Toc516058972 \h </w:instrText>
      </w:r>
      <w:r>
        <w:rPr>
          <w:noProof/>
        </w:rPr>
      </w:r>
      <w:r>
        <w:rPr>
          <w:noProof/>
        </w:rPr>
        <w:fldChar w:fldCharType="separate"/>
      </w:r>
      <w:r>
        <w:rPr>
          <w:noProof/>
        </w:rPr>
        <w:t>11</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8</w:t>
      </w:r>
      <w:r w:rsidRPr="00B16FF3">
        <w:rPr>
          <w:rFonts w:cs="Arial-ItalicMT"/>
          <w:iCs/>
          <w:noProof/>
        </w:rPr>
        <w:t xml:space="preserve"> – </w:t>
      </w:r>
      <w:r>
        <w:rPr>
          <w:noProof/>
        </w:rPr>
        <w:t>Vodní zdroje a jejich ochranná pásma</w:t>
      </w:r>
      <w:r>
        <w:rPr>
          <w:noProof/>
        </w:rPr>
        <w:tab/>
      </w:r>
      <w:r>
        <w:rPr>
          <w:noProof/>
        </w:rPr>
        <w:fldChar w:fldCharType="begin"/>
      </w:r>
      <w:r>
        <w:rPr>
          <w:noProof/>
        </w:rPr>
        <w:instrText xml:space="preserve"> PAGEREF _Toc516058973 \h </w:instrText>
      </w:r>
      <w:r>
        <w:rPr>
          <w:noProof/>
        </w:rPr>
      </w:r>
      <w:r>
        <w:rPr>
          <w:noProof/>
        </w:rPr>
        <w:fldChar w:fldCharType="separate"/>
      </w:r>
      <w:r>
        <w:rPr>
          <w:noProof/>
        </w:rPr>
        <w:t>12</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9</w:t>
      </w:r>
      <w:r w:rsidRPr="00B16FF3">
        <w:rPr>
          <w:rFonts w:cs="Arial-ItalicMT"/>
          <w:iCs/>
          <w:noProof/>
        </w:rPr>
        <w:t xml:space="preserve"> – </w:t>
      </w:r>
      <w:r>
        <w:rPr>
          <w:noProof/>
        </w:rPr>
        <w:t>Půdní typy</w:t>
      </w:r>
      <w:r>
        <w:rPr>
          <w:noProof/>
        </w:rPr>
        <w:tab/>
      </w:r>
      <w:r>
        <w:rPr>
          <w:noProof/>
        </w:rPr>
        <w:fldChar w:fldCharType="begin"/>
      </w:r>
      <w:r>
        <w:rPr>
          <w:noProof/>
        </w:rPr>
        <w:instrText xml:space="preserve"> PAGEREF _Toc516058974 \h </w:instrText>
      </w:r>
      <w:r>
        <w:rPr>
          <w:noProof/>
        </w:rPr>
      </w:r>
      <w:r>
        <w:rPr>
          <w:noProof/>
        </w:rPr>
        <w:fldChar w:fldCharType="separate"/>
      </w:r>
      <w:r>
        <w:rPr>
          <w:noProof/>
        </w:rPr>
        <w:t>13</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10</w:t>
      </w:r>
      <w:r w:rsidRPr="00B16FF3">
        <w:rPr>
          <w:rFonts w:cs="Arial-ItalicMT"/>
          <w:iCs/>
          <w:noProof/>
        </w:rPr>
        <w:t xml:space="preserve"> - </w:t>
      </w:r>
      <w:r w:rsidRPr="00B16FF3">
        <w:rPr>
          <w:rFonts w:asciiTheme="majorHAnsi" w:hAnsiTheme="majorHAnsi"/>
          <w:noProof/>
        </w:rPr>
        <w:t>Administrativní a obecně-geografická mapa správního obvodu Ostrov (stav k 1. 1. 2016)</w:t>
      </w:r>
      <w:r>
        <w:rPr>
          <w:noProof/>
        </w:rPr>
        <w:tab/>
      </w:r>
      <w:r>
        <w:rPr>
          <w:noProof/>
        </w:rPr>
        <w:fldChar w:fldCharType="begin"/>
      </w:r>
      <w:r>
        <w:rPr>
          <w:noProof/>
        </w:rPr>
        <w:instrText xml:space="preserve"> PAGEREF _Toc516058975 \h </w:instrText>
      </w:r>
      <w:r>
        <w:rPr>
          <w:noProof/>
        </w:rPr>
      </w:r>
      <w:r>
        <w:rPr>
          <w:noProof/>
        </w:rPr>
        <w:fldChar w:fldCharType="separate"/>
      </w:r>
      <w:r>
        <w:rPr>
          <w:noProof/>
        </w:rPr>
        <w:t>14</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11</w:t>
      </w:r>
      <w:r w:rsidRPr="00B16FF3">
        <w:rPr>
          <w:rFonts w:cs="Arial-ItalicMT"/>
          <w:iCs/>
          <w:noProof/>
        </w:rPr>
        <w:t xml:space="preserve"> - </w:t>
      </w:r>
      <w:r w:rsidRPr="00B16FF3">
        <w:rPr>
          <w:rFonts w:asciiTheme="majorHAnsi" w:hAnsiTheme="majorHAnsi"/>
          <w:noProof/>
        </w:rPr>
        <w:t>Postavení SO ORP Ostrov vůči ostatním SO ORP v Karlovarském kraji</w:t>
      </w:r>
      <w:r>
        <w:rPr>
          <w:noProof/>
        </w:rPr>
        <w:tab/>
      </w:r>
      <w:r>
        <w:rPr>
          <w:noProof/>
        </w:rPr>
        <w:fldChar w:fldCharType="begin"/>
      </w:r>
      <w:r>
        <w:rPr>
          <w:noProof/>
        </w:rPr>
        <w:instrText xml:space="preserve"> PAGEREF _Toc516058976 \h </w:instrText>
      </w:r>
      <w:r>
        <w:rPr>
          <w:noProof/>
        </w:rPr>
      </w:r>
      <w:r>
        <w:rPr>
          <w:noProof/>
        </w:rPr>
        <w:fldChar w:fldCharType="separate"/>
      </w:r>
      <w:r>
        <w:rPr>
          <w:noProof/>
        </w:rPr>
        <w:t>15</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12</w:t>
      </w:r>
      <w:r w:rsidRPr="00B16FF3">
        <w:rPr>
          <w:rFonts w:cs="Arial-ItalicMT"/>
          <w:iCs/>
          <w:noProof/>
        </w:rPr>
        <w:t xml:space="preserve"> - </w:t>
      </w:r>
      <w:r w:rsidRPr="00B16FF3">
        <w:rPr>
          <w:rFonts w:asciiTheme="majorHAnsi" w:hAnsiTheme="majorHAnsi"/>
          <w:noProof/>
        </w:rPr>
        <w:t>Vývoj počtu obyvatel města Ostrov a vývoj průměrného věku obyvatel v období let 2000 - 2016</w:t>
      </w:r>
      <w:r>
        <w:rPr>
          <w:noProof/>
        </w:rPr>
        <w:tab/>
      </w:r>
      <w:r>
        <w:rPr>
          <w:noProof/>
        </w:rPr>
        <w:fldChar w:fldCharType="begin"/>
      </w:r>
      <w:r>
        <w:rPr>
          <w:noProof/>
        </w:rPr>
        <w:instrText xml:space="preserve"> PAGEREF _Toc516058977 \h </w:instrText>
      </w:r>
      <w:r>
        <w:rPr>
          <w:noProof/>
        </w:rPr>
      </w:r>
      <w:r>
        <w:rPr>
          <w:noProof/>
        </w:rPr>
        <w:fldChar w:fldCharType="separate"/>
      </w:r>
      <w:r>
        <w:rPr>
          <w:noProof/>
        </w:rPr>
        <w:t>18</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13</w:t>
      </w:r>
      <w:r w:rsidRPr="00B16FF3">
        <w:rPr>
          <w:rFonts w:cs="Arial-ItalicMT"/>
          <w:iCs/>
          <w:noProof/>
        </w:rPr>
        <w:t xml:space="preserve"> - </w:t>
      </w:r>
      <w:r w:rsidRPr="00B16FF3">
        <w:rPr>
          <w:rFonts w:asciiTheme="majorHAnsi" w:hAnsiTheme="majorHAnsi"/>
          <w:noProof/>
        </w:rPr>
        <w:t>Vývoj přírůstku obyvatel města Ostrov letech 2002 - 2016</w:t>
      </w:r>
      <w:r>
        <w:rPr>
          <w:noProof/>
        </w:rPr>
        <w:tab/>
      </w:r>
      <w:r>
        <w:rPr>
          <w:noProof/>
        </w:rPr>
        <w:fldChar w:fldCharType="begin"/>
      </w:r>
      <w:r>
        <w:rPr>
          <w:noProof/>
        </w:rPr>
        <w:instrText xml:space="preserve"> PAGEREF _Toc516058978 \h </w:instrText>
      </w:r>
      <w:r>
        <w:rPr>
          <w:noProof/>
        </w:rPr>
      </w:r>
      <w:r>
        <w:rPr>
          <w:noProof/>
        </w:rPr>
        <w:fldChar w:fldCharType="separate"/>
      </w:r>
      <w:r>
        <w:rPr>
          <w:noProof/>
        </w:rPr>
        <w:t>19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14</w:t>
      </w:r>
      <w:r w:rsidRPr="00B16FF3">
        <w:rPr>
          <w:rFonts w:cs="Arial-ItalicMT"/>
          <w:iCs/>
          <w:noProof/>
        </w:rPr>
        <w:t xml:space="preserve"> - </w:t>
      </w:r>
      <w:r w:rsidRPr="00B16FF3">
        <w:rPr>
          <w:rFonts w:asciiTheme="majorHAnsi" w:hAnsiTheme="majorHAnsi"/>
          <w:noProof/>
        </w:rPr>
        <w:t>Hustota obyvatelstva ve správních obvodech ORP a krajích - kartogram</w:t>
      </w:r>
      <w:r>
        <w:rPr>
          <w:noProof/>
        </w:rPr>
        <w:tab/>
      </w:r>
      <w:r>
        <w:rPr>
          <w:noProof/>
        </w:rPr>
        <w:fldChar w:fldCharType="begin"/>
      </w:r>
      <w:r>
        <w:rPr>
          <w:noProof/>
        </w:rPr>
        <w:instrText xml:space="preserve"> PAGEREF _Toc516058979 \h </w:instrText>
      </w:r>
      <w:r>
        <w:rPr>
          <w:noProof/>
        </w:rPr>
      </w:r>
      <w:r>
        <w:rPr>
          <w:noProof/>
        </w:rPr>
        <w:fldChar w:fldCharType="separate"/>
      </w:r>
      <w:r>
        <w:rPr>
          <w:noProof/>
        </w:rPr>
        <w:t>20</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15</w:t>
      </w:r>
      <w:r w:rsidRPr="00B16FF3">
        <w:rPr>
          <w:rFonts w:cs="Arial-ItalicMT"/>
          <w:iCs/>
          <w:noProof/>
        </w:rPr>
        <w:t xml:space="preserve"> - </w:t>
      </w:r>
      <w:r w:rsidRPr="00B16FF3">
        <w:rPr>
          <w:rFonts w:asciiTheme="majorHAnsi" w:hAnsiTheme="majorHAnsi"/>
          <w:noProof/>
        </w:rPr>
        <w:t>Městské obyvatelstvo ve správních obvodech ORP a krajích - kartogram</w:t>
      </w:r>
      <w:r>
        <w:rPr>
          <w:noProof/>
        </w:rPr>
        <w:tab/>
      </w:r>
      <w:r>
        <w:rPr>
          <w:noProof/>
        </w:rPr>
        <w:fldChar w:fldCharType="begin"/>
      </w:r>
      <w:r>
        <w:rPr>
          <w:noProof/>
        </w:rPr>
        <w:instrText xml:space="preserve"> PAGEREF _Toc516058980 \h </w:instrText>
      </w:r>
      <w:r>
        <w:rPr>
          <w:noProof/>
        </w:rPr>
      </w:r>
      <w:r>
        <w:rPr>
          <w:noProof/>
        </w:rPr>
        <w:fldChar w:fldCharType="separate"/>
      </w:r>
      <w:r>
        <w:rPr>
          <w:noProof/>
        </w:rPr>
        <w:t>21</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16</w:t>
      </w:r>
      <w:r w:rsidRPr="00B16FF3">
        <w:rPr>
          <w:rFonts w:cs="Arial-ItalicMT"/>
          <w:iCs/>
          <w:noProof/>
        </w:rPr>
        <w:t xml:space="preserve"> </w:t>
      </w:r>
      <w:r w:rsidRPr="00B16FF3">
        <w:rPr>
          <w:rFonts w:asciiTheme="majorHAnsi" w:hAnsiTheme="majorHAnsi"/>
          <w:noProof/>
        </w:rPr>
        <w:t xml:space="preserve"> - Počet dětí a meziroční přírůstky</w:t>
      </w:r>
      <w:r>
        <w:rPr>
          <w:noProof/>
        </w:rPr>
        <w:tab/>
      </w:r>
      <w:r>
        <w:rPr>
          <w:noProof/>
        </w:rPr>
        <w:fldChar w:fldCharType="begin"/>
      </w:r>
      <w:r>
        <w:rPr>
          <w:noProof/>
        </w:rPr>
        <w:instrText xml:space="preserve"> PAGEREF _Toc516058981 \h </w:instrText>
      </w:r>
      <w:r>
        <w:rPr>
          <w:noProof/>
        </w:rPr>
      </w:r>
      <w:r>
        <w:rPr>
          <w:noProof/>
        </w:rPr>
        <w:fldChar w:fldCharType="separate"/>
      </w:r>
      <w:r>
        <w:rPr>
          <w:noProof/>
        </w:rPr>
        <w:t>22</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17</w:t>
      </w:r>
      <w:r w:rsidRPr="00B16FF3">
        <w:rPr>
          <w:rFonts w:cs="Arial-ItalicMT"/>
          <w:iCs/>
          <w:noProof/>
        </w:rPr>
        <w:t xml:space="preserve"> </w:t>
      </w:r>
      <w:r w:rsidRPr="00B16FF3">
        <w:rPr>
          <w:rFonts w:asciiTheme="majorHAnsi" w:hAnsiTheme="majorHAnsi"/>
          <w:noProof/>
        </w:rPr>
        <w:t xml:space="preserve"> - Počet seniorů a meziroční přírůstky</w:t>
      </w:r>
      <w:r>
        <w:rPr>
          <w:noProof/>
        </w:rPr>
        <w:tab/>
      </w:r>
      <w:r>
        <w:rPr>
          <w:noProof/>
        </w:rPr>
        <w:fldChar w:fldCharType="begin"/>
      </w:r>
      <w:r>
        <w:rPr>
          <w:noProof/>
        </w:rPr>
        <w:instrText xml:space="preserve"> PAGEREF _Toc516058982 \h </w:instrText>
      </w:r>
      <w:r>
        <w:rPr>
          <w:noProof/>
        </w:rPr>
      </w:r>
      <w:r>
        <w:rPr>
          <w:noProof/>
        </w:rPr>
        <w:fldChar w:fldCharType="separate"/>
      </w:r>
      <w:r>
        <w:rPr>
          <w:noProof/>
        </w:rPr>
        <w:t>22</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18</w:t>
      </w:r>
      <w:r w:rsidRPr="00B16FF3">
        <w:rPr>
          <w:rFonts w:cs="Arial-ItalicMT"/>
          <w:iCs/>
          <w:noProof/>
        </w:rPr>
        <w:t xml:space="preserve"> – Kartogram </w:t>
      </w:r>
      <w:r w:rsidRPr="00B16FF3">
        <w:rPr>
          <w:rFonts w:asciiTheme="majorHAnsi" w:hAnsiTheme="majorHAnsi"/>
          <w:noProof/>
        </w:rPr>
        <w:t>indexu stáří ve správních obvodech ORP a krajích</w:t>
      </w:r>
      <w:r>
        <w:rPr>
          <w:noProof/>
        </w:rPr>
        <w:tab/>
      </w:r>
      <w:r>
        <w:rPr>
          <w:noProof/>
        </w:rPr>
        <w:fldChar w:fldCharType="begin"/>
      </w:r>
      <w:r>
        <w:rPr>
          <w:noProof/>
        </w:rPr>
        <w:instrText xml:space="preserve"> PAGEREF _Toc516058983 \h </w:instrText>
      </w:r>
      <w:r>
        <w:rPr>
          <w:noProof/>
        </w:rPr>
      </w:r>
      <w:r>
        <w:rPr>
          <w:noProof/>
        </w:rPr>
        <w:fldChar w:fldCharType="separate"/>
      </w:r>
      <w:r>
        <w:rPr>
          <w:noProof/>
        </w:rPr>
        <w:t>23</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19</w:t>
      </w:r>
      <w:r w:rsidRPr="00B16FF3">
        <w:rPr>
          <w:rFonts w:cs="Arial-ItalicMT"/>
          <w:iCs/>
          <w:noProof/>
        </w:rPr>
        <w:t xml:space="preserve"> - </w:t>
      </w:r>
      <w:r w:rsidRPr="00B16FF3">
        <w:rPr>
          <w:rFonts w:asciiTheme="majorHAnsi" w:hAnsiTheme="majorHAnsi"/>
          <w:noProof/>
        </w:rPr>
        <w:t>Cizinci ve správních obvodech ORP a krajích - kartogram</w:t>
      </w:r>
      <w:r>
        <w:rPr>
          <w:noProof/>
        </w:rPr>
        <w:tab/>
      </w:r>
      <w:r>
        <w:rPr>
          <w:noProof/>
        </w:rPr>
        <w:fldChar w:fldCharType="begin"/>
      </w:r>
      <w:r>
        <w:rPr>
          <w:noProof/>
        </w:rPr>
        <w:instrText xml:space="preserve"> PAGEREF _Toc516058984 \h </w:instrText>
      </w:r>
      <w:r>
        <w:rPr>
          <w:noProof/>
        </w:rPr>
      </w:r>
      <w:r>
        <w:rPr>
          <w:noProof/>
        </w:rPr>
        <w:fldChar w:fldCharType="separate"/>
      </w:r>
      <w:r>
        <w:rPr>
          <w:noProof/>
        </w:rPr>
        <w:t>26</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20</w:t>
      </w:r>
      <w:r w:rsidRPr="00B16FF3">
        <w:rPr>
          <w:rFonts w:cs="Arial-ItalicMT"/>
          <w:iCs/>
          <w:noProof/>
        </w:rPr>
        <w:t xml:space="preserve"> - </w:t>
      </w:r>
      <w:r w:rsidRPr="00B16FF3">
        <w:rPr>
          <w:rFonts w:asciiTheme="majorHAnsi" w:hAnsiTheme="majorHAnsi"/>
          <w:noProof/>
        </w:rPr>
        <w:t>Vývoj počtu ekonomických podílů v SO ORP Ostrov a v Ostrově v letech 2010 – 2016</w:t>
      </w:r>
      <w:r>
        <w:rPr>
          <w:noProof/>
        </w:rPr>
        <w:tab/>
      </w:r>
      <w:r>
        <w:rPr>
          <w:noProof/>
        </w:rPr>
        <w:fldChar w:fldCharType="begin"/>
      </w:r>
      <w:r>
        <w:rPr>
          <w:noProof/>
        </w:rPr>
        <w:instrText xml:space="preserve"> PAGEREF _Toc516058985 \h </w:instrText>
      </w:r>
      <w:r>
        <w:rPr>
          <w:noProof/>
        </w:rPr>
      </w:r>
      <w:r>
        <w:rPr>
          <w:noProof/>
        </w:rPr>
        <w:fldChar w:fldCharType="separate"/>
      </w:r>
      <w:r>
        <w:rPr>
          <w:noProof/>
        </w:rPr>
        <w:t>29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21</w:t>
      </w:r>
      <w:r w:rsidRPr="00B16FF3">
        <w:rPr>
          <w:rFonts w:cs="Arial-ItalicMT"/>
          <w:iCs/>
          <w:noProof/>
        </w:rPr>
        <w:t xml:space="preserve"> – </w:t>
      </w:r>
      <w:r>
        <w:rPr>
          <w:noProof/>
        </w:rPr>
        <w:t>Hlavní dopravní komunikace na území města</w:t>
      </w:r>
      <w:r>
        <w:rPr>
          <w:noProof/>
        </w:rPr>
        <w:tab/>
      </w:r>
      <w:r>
        <w:rPr>
          <w:noProof/>
        </w:rPr>
        <w:fldChar w:fldCharType="begin"/>
      </w:r>
      <w:r>
        <w:rPr>
          <w:noProof/>
        </w:rPr>
        <w:instrText xml:space="preserve"> PAGEREF _Toc516058986 \h </w:instrText>
      </w:r>
      <w:r>
        <w:rPr>
          <w:noProof/>
        </w:rPr>
      </w:r>
      <w:r>
        <w:rPr>
          <w:noProof/>
        </w:rPr>
        <w:fldChar w:fldCharType="separate"/>
      </w:r>
      <w:r>
        <w:rPr>
          <w:noProof/>
        </w:rPr>
        <w:t>47</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22</w:t>
      </w:r>
      <w:r w:rsidRPr="00B16FF3">
        <w:rPr>
          <w:rFonts w:cs="Arial-ItalicMT"/>
          <w:iCs/>
          <w:noProof/>
        </w:rPr>
        <w:t xml:space="preserve"> – </w:t>
      </w:r>
      <w:r>
        <w:rPr>
          <w:noProof/>
        </w:rPr>
        <w:t>Překročení imisního limitu pro O</w:t>
      </w:r>
      <w:r w:rsidRPr="00B16FF3">
        <w:rPr>
          <w:noProof/>
          <w:vertAlign w:val="subscript"/>
        </w:rPr>
        <w:t>3</w:t>
      </w:r>
      <w:r>
        <w:rPr>
          <w:noProof/>
        </w:rPr>
        <w:t xml:space="preserve"> (2015)</w:t>
      </w:r>
      <w:r>
        <w:rPr>
          <w:noProof/>
        </w:rPr>
        <w:tab/>
      </w:r>
      <w:r>
        <w:rPr>
          <w:noProof/>
        </w:rPr>
        <w:fldChar w:fldCharType="begin"/>
      </w:r>
      <w:r>
        <w:rPr>
          <w:noProof/>
        </w:rPr>
        <w:instrText xml:space="preserve"> PAGEREF _Toc516058987 \h </w:instrText>
      </w:r>
      <w:r>
        <w:rPr>
          <w:noProof/>
        </w:rPr>
      </w:r>
      <w:r>
        <w:rPr>
          <w:noProof/>
        </w:rPr>
        <w:fldChar w:fldCharType="separate"/>
      </w:r>
      <w:r>
        <w:rPr>
          <w:noProof/>
        </w:rPr>
        <w:t>58</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lastRenderedPageBreak/>
        <w:t>Obrázek č. 23</w:t>
      </w:r>
      <w:r w:rsidRPr="00B16FF3">
        <w:rPr>
          <w:rFonts w:cs="Arial-ItalicMT"/>
          <w:iCs/>
          <w:noProof/>
        </w:rPr>
        <w:t xml:space="preserve"> – </w:t>
      </w:r>
      <w:r>
        <w:rPr>
          <w:noProof/>
        </w:rPr>
        <w:t>Překročení imisního limitu pro O</w:t>
      </w:r>
      <w:r w:rsidRPr="00B16FF3">
        <w:rPr>
          <w:noProof/>
          <w:vertAlign w:val="subscript"/>
        </w:rPr>
        <w:t>3</w:t>
      </w:r>
      <w:r>
        <w:rPr>
          <w:noProof/>
        </w:rPr>
        <w:t xml:space="preserve"> (2016)</w:t>
      </w:r>
      <w:r>
        <w:rPr>
          <w:noProof/>
        </w:rPr>
        <w:tab/>
      </w:r>
      <w:r>
        <w:rPr>
          <w:noProof/>
        </w:rPr>
        <w:fldChar w:fldCharType="begin"/>
      </w:r>
      <w:r>
        <w:rPr>
          <w:noProof/>
        </w:rPr>
        <w:instrText xml:space="preserve"> PAGEREF _Toc516058988 \h </w:instrText>
      </w:r>
      <w:r>
        <w:rPr>
          <w:noProof/>
        </w:rPr>
      </w:r>
      <w:r>
        <w:rPr>
          <w:noProof/>
        </w:rPr>
        <w:fldChar w:fldCharType="separate"/>
      </w:r>
      <w:r>
        <w:rPr>
          <w:noProof/>
        </w:rPr>
        <w:t>58</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24</w:t>
      </w:r>
      <w:r w:rsidRPr="00B16FF3">
        <w:rPr>
          <w:rFonts w:cs="Arial-ItalicMT"/>
          <w:iCs/>
          <w:noProof/>
        </w:rPr>
        <w:t xml:space="preserve"> – </w:t>
      </w:r>
      <w:r>
        <w:rPr>
          <w:noProof/>
        </w:rPr>
        <w:t>Pětileté průměrné roční koncentrace PM</w:t>
      </w:r>
      <w:r w:rsidRPr="00B16FF3">
        <w:rPr>
          <w:noProof/>
          <w:vertAlign w:val="subscript"/>
        </w:rPr>
        <w:t>10</w:t>
      </w:r>
      <w:r>
        <w:rPr>
          <w:noProof/>
        </w:rPr>
        <w:t xml:space="preserve"> (2012-2016)</w:t>
      </w:r>
      <w:r>
        <w:rPr>
          <w:noProof/>
        </w:rPr>
        <w:tab/>
      </w:r>
      <w:r>
        <w:rPr>
          <w:noProof/>
        </w:rPr>
        <w:fldChar w:fldCharType="begin"/>
      </w:r>
      <w:r>
        <w:rPr>
          <w:noProof/>
        </w:rPr>
        <w:instrText xml:space="preserve"> PAGEREF _Toc516058989 \h </w:instrText>
      </w:r>
      <w:r>
        <w:rPr>
          <w:noProof/>
        </w:rPr>
      </w:r>
      <w:r>
        <w:rPr>
          <w:noProof/>
        </w:rPr>
        <w:fldChar w:fldCharType="separate"/>
      </w:r>
      <w:r>
        <w:rPr>
          <w:noProof/>
        </w:rPr>
        <w:t>59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25</w:t>
      </w:r>
      <w:r w:rsidRPr="00B16FF3">
        <w:rPr>
          <w:rFonts w:cs="Arial-ItalicMT"/>
          <w:iCs/>
          <w:noProof/>
        </w:rPr>
        <w:t xml:space="preserve"> – Pětileté průměrné 24 hodinové koncentrace PM</w:t>
      </w:r>
      <w:r w:rsidRPr="00B16FF3">
        <w:rPr>
          <w:rFonts w:cs="Arial-ItalicMT"/>
          <w:iCs/>
          <w:noProof/>
          <w:vertAlign w:val="subscript"/>
        </w:rPr>
        <w:t>10</w:t>
      </w:r>
      <w:r w:rsidRPr="00B16FF3">
        <w:rPr>
          <w:rFonts w:cs="Arial-ItalicMT"/>
          <w:iCs/>
          <w:noProof/>
        </w:rPr>
        <w:t xml:space="preserve"> (36. nejvyšší dosažená hodnota) (2012-2016)</w:t>
      </w:r>
      <w:r>
        <w:rPr>
          <w:noProof/>
        </w:rPr>
        <w:tab/>
      </w:r>
      <w:r>
        <w:rPr>
          <w:noProof/>
        </w:rPr>
        <w:fldChar w:fldCharType="begin"/>
      </w:r>
      <w:r>
        <w:rPr>
          <w:noProof/>
        </w:rPr>
        <w:instrText xml:space="preserve"> PAGEREF _Toc516058990 \h </w:instrText>
      </w:r>
      <w:r>
        <w:rPr>
          <w:noProof/>
        </w:rPr>
      </w:r>
      <w:r>
        <w:rPr>
          <w:noProof/>
        </w:rPr>
        <w:fldChar w:fldCharType="separate"/>
      </w:r>
      <w:r>
        <w:rPr>
          <w:noProof/>
        </w:rPr>
        <w:t>59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26</w:t>
      </w:r>
      <w:r w:rsidRPr="00B16FF3">
        <w:rPr>
          <w:rFonts w:cs="Arial-ItalicMT"/>
          <w:iCs/>
          <w:noProof/>
        </w:rPr>
        <w:t xml:space="preserve"> – </w:t>
      </w:r>
      <w:r>
        <w:rPr>
          <w:noProof/>
        </w:rPr>
        <w:t>Útvary povrchových vod s nevyhovujícím chemickým stavem</w:t>
      </w:r>
      <w:r>
        <w:rPr>
          <w:noProof/>
        </w:rPr>
        <w:tab/>
      </w:r>
      <w:r>
        <w:rPr>
          <w:noProof/>
        </w:rPr>
        <w:fldChar w:fldCharType="begin"/>
      </w:r>
      <w:r>
        <w:rPr>
          <w:noProof/>
        </w:rPr>
        <w:instrText xml:space="preserve"> PAGEREF _Toc516058991 \h </w:instrText>
      </w:r>
      <w:r>
        <w:rPr>
          <w:noProof/>
        </w:rPr>
      </w:r>
      <w:r>
        <w:rPr>
          <w:noProof/>
        </w:rPr>
        <w:fldChar w:fldCharType="separate"/>
      </w:r>
      <w:r>
        <w:rPr>
          <w:noProof/>
        </w:rPr>
        <w:t>60</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27</w:t>
      </w:r>
      <w:r w:rsidRPr="00B16FF3">
        <w:rPr>
          <w:rFonts w:cs="Arial-ItalicMT"/>
          <w:iCs/>
          <w:noProof/>
        </w:rPr>
        <w:t xml:space="preserve"> – </w:t>
      </w:r>
      <w:r>
        <w:rPr>
          <w:noProof/>
        </w:rPr>
        <w:t>Útvary podzemních vod s nevyhovujícím chemickým stavem</w:t>
      </w:r>
      <w:r>
        <w:rPr>
          <w:noProof/>
        </w:rPr>
        <w:tab/>
      </w:r>
      <w:r>
        <w:rPr>
          <w:noProof/>
        </w:rPr>
        <w:fldChar w:fldCharType="begin"/>
      </w:r>
      <w:r>
        <w:rPr>
          <w:noProof/>
        </w:rPr>
        <w:instrText xml:space="preserve"> PAGEREF _Toc516058992 \h </w:instrText>
      </w:r>
      <w:r>
        <w:rPr>
          <w:noProof/>
        </w:rPr>
      </w:r>
      <w:r>
        <w:rPr>
          <w:noProof/>
        </w:rPr>
        <w:fldChar w:fldCharType="separate"/>
      </w:r>
      <w:r>
        <w:rPr>
          <w:noProof/>
        </w:rPr>
        <w:t>60</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28</w:t>
      </w:r>
      <w:r w:rsidRPr="00B16FF3">
        <w:rPr>
          <w:rFonts w:cs="Arial-ItalicMT"/>
          <w:iCs/>
          <w:noProof/>
        </w:rPr>
        <w:t xml:space="preserve"> – </w:t>
      </w:r>
      <w:r>
        <w:rPr>
          <w:noProof/>
        </w:rPr>
        <w:t>Aktivní zóny záplavových území pro toky Bystřice a Ohře</w:t>
      </w:r>
      <w:r>
        <w:rPr>
          <w:noProof/>
        </w:rPr>
        <w:tab/>
      </w:r>
      <w:r>
        <w:rPr>
          <w:noProof/>
        </w:rPr>
        <w:fldChar w:fldCharType="begin"/>
      </w:r>
      <w:r>
        <w:rPr>
          <w:noProof/>
        </w:rPr>
        <w:instrText xml:space="preserve"> PAGEREF _Toc516058993 \h </w:instrText>
      </w:r>
      <w:r>
        <w:rPr>
          <w:noProof/>
        </w:rPr>
      </w:r>
      <w:r>
        <w:rPr>
          <w:noProof/>
        </w:rPr>
        <w:fldChar w:fldCharType="separate"/>
      </w:r>
      <w:r>
        <w:rPr>
          <w:noProof/>
        </w:rPr>
        <w:t>61</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29</w:t>
      </w:r>
      <w:r w:rsidRPr="00B16FF3">
        <w:rPr>
          <w:rFonts w:cs="Arial-ItalicMT"/>
          <w:iCs/>
          <w:noProof/>
        </w:rPr>
        <w:t xml:space="preserve"> – </w:t>
      </w:r>
      <w:r>
        <w:rPr>
          <w:noProof/>
        </w:rPr>
        <w:t>Záplavové území při Q5, Q20 a Q100 pro toky Bystřice a Ohře</w:t>
      </w:r>
      <w:r>
        <w:rPr>
          <w:noProof/>
        </w:rPr>
        <w:tab/>
      </w:r>
      <w:r>
        <w:rPr>
          <w:noProof/>
        </w:rPr>
        <w:fldChar w:fldCharType="begin"/>
      </w:r>
      <w:r>
        <w:rPr>
          <w:noProof/>
        </w:rPr>
        <w:instrText xml:space="preserve"> PAGEREF _Toc516058994 \h </w:instrText>
      </w:r>
      <w:r>
        <w:rPr>
          <w:noProof/>
        </w:rPr>
      </w:r>
      <w:r>
        <w:rPr>
          <w:noProof/>
        </w:rPr>
        <w:fldChar w:fldCharType="separate"/>
      </w:r>
      <w:r>
        <w:rPr>
          <w:noProof/>
        </w:rPr>
        <w:t>61</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30</w:t>
      </w:r>
      <w:r w:rsidRPr="00B16FF3">
        <w:rPr>
          <w:rFonts w:cs="Arial-ItalicMT"/>
          <w:iCs/>
          <w:noProof/>
        </w:rPr>
        <w:t xml:space="preserve"> – </w:t>
      </w:r>
      <w:r>
        <w:rPr>
          <w:noProof/>
        </w:rPr>
        <w:t>Aktivní zóny záplavových území pro Jáchymovský potok</w:t>
      </w:r>
      <w:r>
        <w:rPr>
          <w:noProof/>
        </w:rPr>
        <w:tab/>
      </w:r>
      <w:r>
        <w:rPr>
          <w:noProof/>
        </w:rPr>
        <w:fldChar w:fldCharType="begin"/>
      </w:r>
      <w:r>
        <w:rPr>
          <w:noProof/>
        </w:rPr>
        <w:instrText xml:space="preserve"> PAGEREF _Toc516058995 \h </w:instrText>
      </w:r>
      <w:r>
        <w:rPr>
          <w:noProof/>
        </w:rPr>
      </w:r>
      <w:r>
        <w:rPr>
          <w:noProof/>
        </w:rPr>
        <w:fldChar w:fldCharType="separate"/>
      </w:r>
      <w:r>
        <w:rPr>
          <w:noProof/>
        </w:rPr>
        <w:t>62</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31</w:t>
      </w:r>
      <w:r w:rsidRPr="00B16FF3">
        <w:rPr>
          <w:rFonts w:cs="Arial-ItalicMT"/>
          <w:iCs/>
          <w:noProof/>
        </w:rPr>
        <w:t xml:space="preserve"> – </w:t>
      </w:r>
      <w:r>
        <w:rPr>
          <w:noProof/>
        </w:rPr>
        <w:t>Záplavové území při Q5, Q20 a Q100 pro Jáchymovský potok</w:t>
      </w:r>
      <w:r>
        <w:rPr>
          <w:noProof/>
        </w:rPr>
        <w:tab/>
      </w:r>
      <w:r>
        <w:rPr>
          <w:noProof/>
        </w:rPr>
        <w:fldChar w:fldCharType="begin"/>
      </w:r>
      <w:r>
        <w:rPr>
          <w:noProof/>
        </w:rPr>
        <w:instrText xml:space="preserve"> PAGEREF _Toc516058996 \h </w:instrText>
      </w:r>
      <w:r>
        <w:rPr>
          <w:noProof/>
        </w:rPr>
      </w:r>
      <w:r>
        <w:rPr>
          <w:noProof/>
        </w:rPr>
        <w:fldChar w:fldCharType="separate"/>
      </w:r>
      <w:r>
        <w:rPr>
          <w:noProof/>
        </w:rPr>
        <w:t>62</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32</w:t>
      </w:r>
      <w:r w:rsidRPr="00B16FF3">
        <w:rPr>
          <w:rFonts w:cs="Arial-ItalicMT"/>
          <w:iCs/>
          <w:noProof/>
        </w:rPr>
        <w:t xml:space="preserve"> – </w:t>
      </w:r>
      <w:r>
        <w:rPr>
          <w:noProof/>
        </w:rPr>
        <w:t>Kritické body a sběrná místa kritických bodů u přívalových srážek</w:t>
      </w:r>
      <w:r>
        <w:rPr>
          <w:noProof/>
        </w:rPr>
        <w:tab/>
      </w:r>
      <w:r>
        <w:rPr>
          <w:noProof/>
        </w:rPr>
        <w:fldChar w:fldCharType="begin"/>
      </w:r>
      <w:r>
        <w:rPr>
          <w:noProof/>
        </w:rPr>
        <w:instrText xml:space="preserve"> PAGEREF _Toc516058997 \h </w:instrText>
      </w:r>
      <w:r>
        <w:rPr>
          <w:noProof/>
        </w:rPr>
      </w:r>
      <w:r>
        <w:rPr>
          <w:noProof/>
        </w:rPr>
        <w:fldChar w:fldCharType="separate"/>
      </w:r>
      <w:r>
        <w:rPr>
          <w:noProof/>
        </w:rPr>
        <w:t>63</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33</w:t>
      </w:r>
      <w:r w:rsidRPr="00B16FF3">
        <w:rPr>
          <w:rFonts w:cs="Arial-ItalicMT"/>
          <w:iCs/>
          <w:noProof/>
        </w:rPr>
        <w:t xml:space="preserve"> – </w:t>
      </w:r>
      <w:r>
        <w:rPr>
          <w:noProof/>
        </w:rPr>
        <w:t>Výměra jednotlivých druhů pozemků v Ostrově (%)</w:t>
      </w:r>
      <w:r>
        <w:rPr>
          <w:noProof/>
        </w:rPr>
        <w:tab/>
      </w:r>
      <w:r>
        <w:rPr>
          <w:noProof/>
        </w:rPr>
        <w:fldChar w:fldCharType="begin"/>
      </w:r>
      <w:r>
        <w:rPr>
          <w:noProof/>
        </w:rPr>
        <w:instrText xml:space="preserve"> PAGEREF _Toc516058998 \h </w:instrText>
      </w:r>
      <w:r>
        <w:rPr>
          <w:noProof/>
        </w:rPr>
      </w:r>
      <w:r>
        <w:rPr>
          <w:noProof/>
        </w:rPr>
        <w:fldChar w:fldCharType="separate"/>
      </w:r>
      <w:r>
        <w:rPr>
          <w:noProof/>
        </w:rPr>
        <w:t>64</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34</w:t>
      </w:r>
      <w:r w:rsidRPr="00B16FF3">
        <w:rPr>
          <w:rFonts w:cs="Arial-ItalicMT"/>
          <w:iCs/>
          <w:noProof/>
        </w:rPr>
        <w:t xml:space="preserve"> – </w:t>
      </w:r>
      <w:r>
        <w:rPr>
          <w:noProof/>
        </w:rPr>
        <w:t>Třídy ochrany půdy (BPEJ)</w:t>
      </w:r>
      <w:r>
        <w:rPr>
          <w:noProof/>
        </w:rPr>
        <w:tab/>
      </w:r>
      <w:r>
        <w:rPr>
          <w:noProof/>
        </w:rPr>
        <w:fldChar w:fldCharType="begin"/>
      </w:r>
      <w:r>
        <w:rPr>
          <w:noProof/>
        </w:rPr>
        <w:instrText xml:space="preserve"> PAGEREF _Toc516058999 \h </w:instrText>
      </w:r>
      <w:r>
        <w:rPr>
          <w:noProof/>
        </w:rPr>
      </w:r>
      <w:r>
        <w:rPr>
          <w:noProof/>
        </w:rPr>
        <w:fldChar w:fldCharType="separate"/>
      </w:r>
      <w:r>
        <w:rPr>
          <w:noProof/>
        </w:rPr>
        <w:t>65</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35</w:t>
      </w:r>
      <w:r w:rsidRPr="00B16FF3">
        <w:rPr>
          <w:rFonts w:cs="Arial-ItalicMT"/>
          <w:iCs/>
          <w:noProof/>
        </w:rPr>
        <w:t xml:space="preserve"> – Kategorie lesa</w:t>
      </w:r>
      <w:r>
        <w:rPr>
          <w:noProof/>
        </w:rPr>
        <w:tab/>
      </w:r>
      <w:r>
        <w:rPr>
          <w:noProof/>
        </w:rPr>
        <w:fldChar w:fldCharType="begin"/>
      </w:r>
      <w:r>
        <w:rPr>
          <w:noProof/>
        </w:rPr>
        <w:instrText xml:space="preserve"> PAGEREF _Toc516059000 \h </w:instrText>
      </w:r>
      <w:r>
        <w:rPr>
          <w:noProof/>
        </w:rPr>
      </w:r>
      <w:r>
        <w:rPr>
          <w:noProof/>
        </w:rPr>
        <w:fldChar w:fldCharType="separate"/>
      </w:r>
      <w:r>
        <w:rPr>
          <w:noProof/>
        </w:rPr>
        <w:t>65</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36</w:t>
      </w:r>
      <w:r w:rsidRPr="00B16FF3">
        <w:rPr>
          <w:rFonts w:cs="Arial-ItalicMT"/>
          <w:iCs/>
          <w:noProof/>
        </w:rPr>
        <w:t xml:space="preserve"> – </w:t>
      </w:r>
      <w:r>
        <w:rPr>
          <w:noProof/>
        </w:rPr>
        <w:t>Ohroženost půd vodní erozí</w:t>
      </w:r>
      <w:r>
        <w:rPr>
          <w:noProof/>
        </w:rPr>
        <w:tab/>
      </w:r>
      <w:r>
        <w:rPr>
          <w:noProof/>
        </w:rPr>
        <w:fldChar w:fldCharType="begin"/>
      </w:r>
      <w:r>
        <w:rPr>
          <w:noProof/>
        </w:rPr>
        <w:instrText xml:space="preserve"> PAGEREF _Toc516059001 \h </w:instrText>
      </w:r>
      <w:r>
        <w:rPr>
          <w:noProof/>
        </w:rPr>
      </w:r>
      <w:r>
        <w:rPr>
          <w:noProof/>
        </w:rPr>
        <w:fldChar w:fldCharType="separate"/>
      </w:r>
      <w:r>
        <w:rPr>
          <w:noProof/>
        </w:rPr>
        <w:t>66</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37</w:t>
      </w:r>
      <w:r w:rsidRPr="00B16FF3">
        <w:rPr>
          <w:rFonts w:cs="Arial-ItalicMT"/>
          <w:iCs/>
          <w:noProof/>
        </w:rPr>
        <w:t xml:space="preserve"> – </w:t>
      </w:r>
      <w:r>
        <w:rPr>
          <w:noProof/>
        </w:rPr>
        <w:t xml:space="preserve">Intenzita dopravy – Ostrov </w:t>
      </w:r>
      <w:r>
        <w:rPr>
          <w:noProof/>
        </w:rPr>
        <w:tab/>
      </w:r>
      <w:r>
        <w:rPr>
          <w:noProof/>
        </w:rPr>
        <w:fldChar w:fldCharType="begin"/>
      </w:r>
      <w:r>
        <w:rPr>
          <w:noProof/>
        </w:rPr>
        <w:instrText xml:space="preserve"> PAGEREF _Toc516059002 \h </w:instrText>
      </w:r>
      <w:r>
        <w:rPr>
          <w:noProof/>
        </w:rPr>
      </w:r>
      <w:r>
        <w:rPr>
          <w:noProof/>
        </w:rPr>
        <w:fldChar w:fldCharType="separate"/>
      </w:r>
      <w:r>
        <w:rPr>
          <w:noProof/>
        </w:rPr>
        <w:t>67</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38</w:t>
      </w:r>
      <w:r w:rsidRPr="00B16FF3">
        <w:rPr>
          <w:rFonts w:cs="Arial-ItalicMT"/>
          <w:iCs/>
          <w:noProof/>
        </w:rPr>
        <w:t xml:space="preserve"> – </w:t>
      </w:r>
      <w:r>
        <w:rPr>
          <w:noProof/>
        </w:rPr>
        <w:t>Intenzita dopravy – širší okolí</w:t>
      </w:r>
      <w:r>
        <w:rPr>
          <w:noProof/>
        </w:rPr>
        <w:tab/>
      </w:r>
      <w:r>
        <w:rPr>
          <w:noProof/>
        </w:rPr>
        <w:fldChar w:fldCharType="begin"/>
      </w:r>
      <w:r>
        <w:rPr>
          <w:noProof/>
        </w:rPr>
        <w:instrText xml:space="preserve"> PAGEREF _Toc516059003 \h </w:instrText>
      </w:r>
      <w:r>
        <w:rPr>
          <w:noProof/>
        </w:rPr>
      </w:r>
      <w:r>
        <w:rPr>
          <w:noProof/>
        </w:rPr>
        <w:fldChar w:fldCharType="separate"/>
      </w:r>
      <w:r>
        <w:rPr>
          <w:noProof/>
        </w:rPr>
        <w:t>67</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39</w:t>
      </w:r>
      <w:r w:rsidRPr="00B16FF3">
        <w:rPr>
          <w:rFonts w:cs="Arial-ItalicMT"/>
          <w:iCs/>
          <w:noProof/>
        </w:rPr>
        <w:t xml:space="preserve">  – </w:t>
      </w:r>
      <w:r>
        <w:rPr>
          <w:noProof/>
        </w:rPr>
        <w:t>Chráněná území a lokality soustavy Natura 2000</w:t>
      </w:r>
      <w:r>
        <w:rPr>
          <w:noProof/>
        </w:rPr>
        <w:tab/>
      </w:r>
      <w:r>
        <w:rPr>
          <w:noProof/>
        </w:rPr>
        <w:fldChar w:fldCharType="begin"/>
      </w:r>
      <w:r>
        <w:rPr>
          <w:noProof/>
        </w:rPr>
        <w:instrText xml:space="preserve"> PAGEREF _Toc516059004 \h </w:instrText>
      </w:r>
      <w:r>
        <w:rPr>
          <w:noProof/>
        </w:rPr>
      </w:r>
      <w:r>
        <w:rPr>
          <w:noProof/>
        </w:rPr>
        <w:fldChar w:fldCharType="separate"/>
      </w:r>
      <w:r>
        <w:rPr>
          <w:noProof/>
        </w:rPr>
        <w:t>69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40</w:t>
      </w:r>
      <w:r w:rsidRPr="00B16FF3">
        <w:rPr>
          <w:rFonts w:cs="Arial-ItalicMT"/>
          <w:iCs/>
          <w:noProof/>
        </w:rPr>
        <w:t xml:space="preserve"> – </w:t>
      </w:r>
      <w:r>
        <w:rPr>
          <w:noProof/>
        </w:rPr>
        <w:t>Migračně významná území</w:t>
      </w:r>
      <w:r>
        <w:rPr>
          <w:noProof/>
        </w:rPr>
        <w:tab/>
      </w:r>
      <w:r>
        <w:rPr>
          <w:noProof/>
        </w:rPr>
        <w:fldChar w:fldCharType="begin"/>
      </w:r>
      <w:r>
        <w:rPr>
          <w:noProof/>
        </w:rPr>
        <w:instrText xml:space="preserve"> PAGEREF _Toc516059005 \h </w:instrText>
      </w:r>
      <w:r>
        <w:rPr>
          <w:noProof/>
        </w:rPr>
      </w:r>
      <w:r>
        <w:rPr>
          <w:noProof/>
        </w:rPr>
        <w:fldChar w:fldCharType="separate"/>
      </w:r>
      <w:r>
        <w:rPr>
          <w:noProof/>
        </w:rPr>
        <w:t>70</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41</w:t>
      </w:r>
      <w:r w:rsidRPr="00B16FF3">
        <w:rPr>
          <w:rFonts w:cs="Arial-ItalicMT"/>
          <w:iCs/>
          <w:noProof/>
        </w:rPr>
        <w:t xml:space="preserve"> – </w:t>
      </w:r>
      <w:r>
        <w:rPr>
          <w:noProof/>
        </w:rPr>
        <w:t>Riziko vysychání drobných vodních toků</w:t>
      </w:r>
      <w:r>
        <w:rPr>
          <w:noProof/>
        </w:rPr>
        <w:tab/>
      </w:r>
      <w:r>
        <w:rPr>
          <w:noProof/>
        </w:rPr>
        <w:fldChar w:fldCharType="begin"/>
      </w:r>
      <w:r>
        <w:rPr>
          <w:noProof/>
        </w:rPr>
        <w:instrText xml:space="preserve"> PAGEREF _Toc516059006 \h </w:instrText>
      </w:r>
      <w:r>
        <w:rPr>
          <w:noProof/>
        </w:rPr>
      </w:r>
      <w:r>
        <w:rPr>
          <w:noProof/>
        </w:rPr>
        <w:fldChar w:fldCharType="separate"/>
      </w:r>
      <w:r>
        <w:rPr>
          <w:noProof/>
        </w:rPr>
        <w:t>72</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42</w:t>
      </w:r>
      <w:r w:rsidRPr="00B16FF3">
        <w:rPr>
          <w:rFonts w:cs="Arial-ItalicMT"/>
          <w:iCs/>
          <w:noProof/>
        </w:rPr>
        <w:t xml:space="preserve"> – </w:t>
      </w:r>
      <w:r>
        <w:rPr>
          <w:noProof/>
        </w:rPr>
        <w:t>Vývoj počtu přestupků v období 2014 až 2017</w:t>
      </w:r>
      <w:r>
        <w:rPr>
          <w:noProof/>
        </w:rPr>
        <w:tab/>
      </w:r>
      <w:r>
        <w:rPr>
          <w:noProof/>
        </w:rPr>
        <w:fldChar w:fldCharType="begin"/>
      </w:r>
      <w:r>
        <w:rPr>
          <w:noProof/>
        </w:rPr>
        <w:instrText xml:space="preserve"> PAGEREF _Toc516059007 \h </w:instrText>
      </w:r>
      <w:r>
        <w:rPr>
          <w:noProof/>
        </w:rPr>
      </w:r>
      <w:r>
        <w:rPr>
          <w:noProof/>
        </w:rPr>
        <w:fldChar w:fldCharType="separate"/>
      </w:r>
      <w:r>
        <w:rPr>
          <w:noProof/>
        </w:rPr>
        <w:t>78</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43</w:t>
      </w:r>
      <w:r w:rsidRPr="00B16FF3">
        <w:rPr>
          <w:rFonts w:cs="Arial-ItalicMT"/>
          <w:iCs/>
          <w:noProof/>
        </w:rPr>
        <w:t xml:space="preserve"> – </w:t>
      </w:r>
      <w:r>
        <w:rPr>
          <w:noProof/>
        </w:rPr>
        <w:t>Vývoj počtu trestných činů nezletilých a mladistvých v období 2014 až 2017</w:t>
      </w:r>
      <w:r>
        <w:rPr>
          <w:noProof/>
        </w:rPr>
        <w:tab/>
      </w:r>
      <w:r>
        <w:rPr>
          <w:noProof/>
        </w:rPr>
        <w:fldChar w:fldCharType="begin"/>
      </w:r>
      <w:r>
        <w:rPr>
          <w:noProof/>
        </w:rPr>
        <w:instrText xml:space="preserve"> PAGEREF _Toc516059008 \h </w:instrText>
      </w:r>
      <w:r>
        <w:rPr>
          <w:noProof/>
        </w:rPr>
      </w:r>
      <w:r>
        <w:rPr>
          <w:noProof/>
        </w:rPr>
        <w:fldChar w:fldCharType="separate"/>
      </w:r>
      <w:r>
        <w:rPr>
          <w:noProof/>
        </w:rPr>
        <w:t>79</w:t>
      </w:r>
      <w:r>
        <w:rPr>
          <w:noProof/>
        </w:rPr>
        <w:fldChar w:fldCharType="end"/>
      </w:r>
    </w:p>
    <w:p w:rsidR="009B5674" w:rsidRDefault="009B5674">
      <w:pPr>
        <w:pStyle w:val="Seznamobrzk"/>
        <w:tabs>
          <w:tab w:val="right" w:leader="dot" w:pos="9302"/>
        </w:tabs>
        <w:rPr>
          <w:rFonts w:asciiTheme="minorHAnsi" w:eastAsiaTheme="minorEastAsia" w:hAnsiTheme="minorHAnsi" w:cstheme="minorBidi"/>
          <w:noProof/>
          <w:spacing w:val="0"/>
          <w:szCs w:val="22"/>
          <w:lang w:eastAsia="cs-CZ" w:bidi="ar-SA"/>
        </w:rPr>
      </w:pPr>
      <w:r w:rsidRPr="00B16FF3">
        <w:rPr>
          <w:rFonts w:cs="Arial-ItalicMT"/>
          <w:b/>
          <w:bCs/>
          <w:iCs/>
          <w:noProof/>
          <w:color w:val="372C74"/>
          <w:spacing w:val="10"/>
        </w:rPr>
        <w:t>Obrázek č. 44</w:t>
      </w:r>
      <w:r w:rsidRPr="00B16FF3">
        <w:rPr>
          <w:rFonts w:asciiTheme="majorHAnsi" w:hAnsiTheme="majorHAnsi"/>
          <w:noProof/>
        </w:rPr>
        <w:t>– MAS Krušné hory</w:t>
      </w:r>
      <w:r>
        <w:rPr>
          <w:noProof/>
        </w:rPr>
        <w:tab/>
      </w:r>
      <w:r>
        <w:rPr>
          <w:noProof/>
        </w:rPr>
        <w:fldChar w:fldCharType="begin"/>
      </w:r>
      <w:r>
        <w:rPr>
          <w:noProof/>
        </w:rPr>
        <w:instrText xml:space="preserve"> PAGEREF _Toc516059009 \h </w:instrText>
      </w:r>
      <w:r>
        <w:rPr>
          <w:noProof/>
        </w:rPr>
      </w:r>
      <w:r>
        <w:rPr>
          <w:noProof/>
        </w:rPr>
        <w:fldChar w:fldCharType="separate"/>
      </w:r>
      <w:r>
        <w:rPr>
          <w:noProof/>
        </w:rPr>
        <w:t>81</w:t>
      </w:r>
      <w:r>
        <w:rPr>
          <w:noProof/>
        </w:rPr>
        <w:fldChar w:fldCharType="end"/>
      </w:r>
    </w:p>
    <w:p w:rsidR="009674FB" w:rsidRDefault="005B55A2" w:rsidP="00D82C5F">
      <w:r>
        <w:fldChar w:fldCharType="end"/>
      </w:r>
    </w:p>
    <w:sectPr w:rsidR="009674FB" w:rsidSect="00361F6D">
      <w:headerReference w:type="default" r:id="rId65"/>
      <w:footerReference w:type="default" r:id="rId66"/>
      <w:headerReference w:type="first" r:id="rId67"/>
      <w:footerReference w:type="first" r:id="rId68"/>
      <w:pgSz w:w="11906" w:h="16838"/>
      <w:pgMar w:top="1878" w:right="1177" w:bottom="1985"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0BC8" w:rsidRDefault="00980BC8" w:rsidP="00AF1713">
      <w:pPr>
        <w:spacing w:before="0" w:after="0" w:line="240" w:lineRule="auto"/>
      </w:pPr>
      <w:r>
        <w:separator/>
      </w:r>
    </w:p>
  </w:endnote>
  <w:endnote w:type="continuationSeparator" w:id="0">
    <w:p w:rsidR="00980BC8" w:rsidRDefault="00980BC8" w:rsidP="00AF171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EE"/>
    <w:family w:val="roman"/>
    <w:pitch w:val="variable"/>
    <w:sig w:usb0="E00002FF" w:usb1="42002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Geneva">
    <w:charset w:val="00"/>
    <w:family w:val="auto"/>
    <w:pitch w:val="variable"/>
    <w:sig w:usb0="00000007" w:usb1="00000000" w:usb2="00000000" w:usb3="00000000" w:csb0="00000093" w:csb1="00000000"/>
  </w:font>
  <w:font w:name="Arial Narrow">
    <w:panose1 w:val="020B0606020202030204"/>
    <w:charset w:val="EE"/>
    <w:family w:val="swiss"/>
    <w:pitch w:val="variable"/>
    <w:sig w:usb0="00000287" w:usb1="000008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Consolas">
    <w:panose1 w:val="020B0609020204030204"/>
    <w:charset w:val="EE"/>
    <w:family w:val="modern"/>
    <w:pitch w:val="fixed"/>
    <w:sig w:usb0="E00002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ItalicMT">
    <w:panose1 w:val="00000000000000000000"/>
    <w:charset w:val="EE"/>
    <w:family w:val="auto"/>
    <w:notTrueType/>
    <w:pitch w:val="default"/>
    <w:sig w:usb0="00000005" w:usb1="00000000" w:usb2="00000000" w:usb3="00000000" w:csb0="00000002" w:csb1="00000000"/>
  </w:font>
  <w:font w:name="Arial Black">
    <w:panose1 w:val="020B0A04020102020204"/>
    <w:charset w:val="EE"/>
    <w:family w:val="swiss"/>
    <w:pitch w:val="variable"/>
    <w:sig w:usb0="A00002AF" w:usb1="400078FB" w:usb2="00000000" w:usb3="00000000" w:csb0="0000009F" w:csb1="00000000"/>
  </w:font>
  <w:font w:name="ArialMT">
    <w:panose1 w:val="00000000000000000000"/>
    <w:charset w:val="EE"/>
    <w:family w:val="auto"/>
    <w:notTrueType/>
    <w:pitch w:val="default"/>
    <w:sig w:usb0="00000005" w:usb1="00000000" w:usb2="00000000" w:usb3="00000000" w:csb0="00000002" w:csb1="00000000"/>
  </w:font>
  <w:font w:name="Calibri,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54" w:rsidRPr="00DA7194" w:rsidRDefault="00494E54" w:rsidP="0021195E">
    <w:pPr>
      <w:pStyle w:val="Zpat"/>
      <w:rPr>
        <w:sz w:val="12"/>
      </w:rPr>
    </w:pPr>
  </w:p>
  <w:p w:rsidR="00494E54" w:rsidRPr="00C74C8A" w:rsidRDefault="00494E54" w:rsidP="00616628">
    <w:pPr>
      <w:spacing w:after="0" w:line="240" w:lineRule="auto"/>
      <w:rPr>
        <w:rFonts w:asciiTheme="majorHAnsi" w:hAnsiTheme="majorHAnsi"/>
        <w:b/>
        <w:color w:val="BFBFBF" w:themeColor="background1" w:themeShade="BF"/>
        <w:spacing w:val="20"/>
        <w:sz w:val="24"/>
        <w:szCs w:val="24"/>
      </w:rPr>
    </w:pPr>
    <w:r w:rsidRPr="00C74C8A">
      <w:rPr>
        <w:rFonts w:asciiTheme="majorHAnsi" w:hAnsiTheme="majorHAnsi"/>
        <w:b/>
        <w:color w:val="BFBFBF" w:themeColor="background1" w:themeShade="BF"/>
        <w:spacing w:val="20"/>
        <w:sz w:val="24"/>
        <w:szCs w:val="24"/>
      </w:rPr>
      <w:t>Příloha A1 analytické části SPRMO</w:t>
    </w:r>
  </w:p>
  <w:p w:rsidR="00494E54" w:rsidRPr="00B344D2" w:rsidRDefault="00980BC8" w:rsidP="00616628">
    <w:pPr>
      <w:spacing w:before="0" w:after="0" w:line="240" w:lineRule="auto"/>
      <w:rPr>
        <w:rFonts w:asciiTheme="majorHAnsi" w:hAnsiTheme="majorHAnsi"/>
        <w:b/>
        <w:color w:val="372C74"/>
        <w:spacing w:val="20"/>
        <w:szCs w:val="22"/>
      </w:rPr>
    </w:pPr>
    <w:r>
      <w:rPr>
        <w:rFonts w:asciiTheme="majorHAnsi" w:hAnsiTheme="majorHAnsi"/>
        <w:b/>
        <w:noProof/>
        <w:color w:val="372C74"/>
        <w:spacing w:val="20"/>
        <w:szCs w:val="22"/>
        <w:lang w:val="en-US" w:bidi="ar-SA"/>
      </w:rPr>
      <w:pict>
        <v:oval id="Oval 5" o:spid="_x0000_s2049" style="position:absolute;left:0;text-align:left;margin-left:427.5pt;margin-top:11.9pt;width:36.65pt;height:35.55pt;z-index:251660288;visibility:visible;mso-position-horizontal-relative:margin;mso-position-vertical-relative:bottom-margin-area;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" fillcolor="#372c74" stroked="f">
          <v:textbox>
            <w:txbxContent>
              <w:p w:rsidR="00494E54" w:rsidRPr="007548F4" w:rsidRDefault="00494E54" w:rsidP="00616628">
                <w:pPr>
                  <w:pStyle w:val="Zpat"/>
                  <w:jc w:val="center"/>
                  <w:rPr>
                    <w:b/>
                    <w:color w:val="FFFFFF" w:themeColor="background1"/>
                    <w:sz w:val="18"/>
                    <w:szCs w:val="18"/>
                  </w:rPr>
                </w:pPr>
                <w:r w:rsidRPr="007548F4">
                  <w:rPr>
                    <w:sz w:val="18"/>
                    <w:szCs w:val="18"/>
                  </w:rPr>
                  <w:fldChar w:fldCharType="begin"/>
                </w:r>
                <w:r w:rsidRPr="007548F4">
                  <w:rPr>
                    <w:sz w:val="18"/>
                    <w:szCs w:val="18"/>
                  </w:rPr>
                  <w:instrText xml:space="preserve"> PAGE    \* MERGEFORMAT </w:instrText>
                </w:r>
                <w:r w:rsidRPr="007548F4">
                  <w:rPr>
                    <w:sz w:val="18"/>
                    <w:szCs w:val="18"/>
                  </w:rPr>
                  <w:fldChar w:fldCharType="separate"/>
                </w:r>
                <w:r w:rsidR="00AD5BB3" w:rsidRPr="00AD5BB3">
                  <w:rPr>
                    <w:b/>
                    <w:noProof/>
                    <w:color w:val="FFFFFF" w:themeColor="background1"/>
                    <w:sz w:val="18"/>
                    <w:szCs w:val="18"/>
                  </w:rPr>
                  <w:t>1</w:t>
                </w:r>
                <w:r w:rsidRPr="007548F4">
                  <w:rPr>
                    <w:sz w:val="18"/>
                    <w:szCs w:val="18"/>
                  </w:rPr>
                  <w:fldChar w:fldCharType="end"/>
                </w:r>
              </w:p>
            </w:txbxContent>
          </v:textbox>
          <w10:wrap anchorx="margin" anchory="margin"/>
        </v:oval>
      </w:pict>
    </w:r>
  </w:p>
  <w:p w:rsidR="00494E54" w:rsidRPr="0021195E" w:rsidRDefault="00494E54" w:rsidP="0021195E">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54" w:rsidRPr="00DA7194" w:rsidRDefault="00494E54" w:rsidP="0021195E">
    <w:pPr>
      <w:pStyle w:val="Zpat"/>
      <w:rPr>
        <w:sz w:val="12"/>
      </w:rPr>
    </w:pPr>
  </w:p>
  <w:tbl>
    <w:tblPr>
      <w:tblStyle w:val="Mkatabulky"/>
      <w:tblW w:w="9180" w:type="dxa"/>
      <w:tblBorders>
        <w:top w:val="single" w:sz="4" w:space="0" w:color="372C7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2"/>
      <w:gridCol w:w="5838"/>
    </w:tblGrid>
    <w:tr w:rsidR="00494E54" w:rsidTr="009F3B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2" w:type="dxa"/>
        </w:tcPr>
        <w:p w:rsidR="00494E54" w:rsidRDefault="00494E54" w:rsidP="009F3B4E">
          <w:pPr>
            <w:pStyle w:val="Zpat"/>
            <w:spacing w:before="120"/>
            <w:jc w:val="left"/>
            <w:rPr>
              <w:rFonts w:hint="eastAsia"/>
            </w:rPr>
          </w:pPr>
          <w:r>
            <w:rPr>
              <w:noProof/>
              <w:lang w:eastAsia="cs-CZ" w:bidi="ar-SA"/>
            </w:rPr>
            <w:drawing>
              <wp:inline distT="0" distB="0" distL="0" distR="0">
                <wp:extent cx="1689151" cy="360000"/>
                <wp:effectExtent l="19050" t="0" r="6299" b="0"/>
                <wp:docPr id="39" name="Obrázek 14" descr="text RP_cz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RP_cz_2.jpg"/>
                        <pic:cNvPicPr/>
                      </pic:nvPicPr>
                      <pic:blipFill>
                        <a:blip r:embed="rId1"/>
                        <a:stretch>
                          <a:fillRect/>
                        </a:stretch>
                      </pic:blipFill>
                      <pic:spPr>
                        <a:xfrm>
                          <a:off x="0" y="0"/>
                          <a:ext cx="1689151" cy="360000"/>
                        </a:xfrm>
                        <a:prstGeom prst="rect">
                          <a:avLst/>
                        </a:prstGeom>
                      </pic:spPr>
                    </pic:pic>
                  </a:graphicData>
                </a:graphic>
              </wp:inline>
            </w:drawing>
          </w:r>
        </w:p>
      </w:tc>
      <w:tc>
        <w:tcPr>
          <w:tcW w:w="5838" w:type="dxa"/>
        </w:tcPr>
        <w:p w:rsidR="00494E54" w:rsidRPr="00DA7194" w:rsidRDefault="00494E54" w:rsidP="009F3B4E">
          <w:pPr>
            <w:pStyle w:val="Zpat"/>
            <w:jc w:val="right"/>
            <w:cnfStyle w:val="100000000000" w:firstRow="1" w:lastRow="0" w:firstColumn="0" w:lastColumn="0" w:oddVBand="0" w:evenVBand="0" w:oddHBand="0" w:evenHBand="0" w:firstRowFirstColumn="0" w:firstRowLastColumn="0" w:lastRowFirstColumn="0" w:lastRowLastColumn="0"/>
            <w:rPr>
              <w:rFonts w:asciiTheme="majorHAnsi" w:hAnsiTheme="majorHAnsi"/>
              <w:b/>
              <w:color w:val="372C74" w:themeColor="accent1"/>
            </w:rPr>
          </w:pPr>
          <w:r w:rsidRPr="00DA7194">
            <w:rPr>
              <w:rFonts w:asciiTheme="majorHAnsi" w:hAnsiTheme="majorHAnsi"/>
              <w:b/>
              <w:color w:val="372C74" w:themeColor="accent1"/>
              <w:sz w:val="20"/>
            </w:rPr>
            <w:fldChar w:fldCharType="begin"/>
          </w:r>
          <w:r w:rsidRPr="00DA7194">
            <w:rPr>
              <w:rFonts w:asciiTheme="majorHAnsi" w:hAnsiTheme="majorHAnsi"/>
              <w:b/>
              <w:color w:val="372C74" w:themeColor="accent1"/>
              <w:sz w:val="20"/>
            </w:rPr>
            <w:instrText xml:space="preserve"> PAGE   \* MERGEFORMAT </w:instrText>
          </w:r>
          <w:r w:rsidRPr="00DA7194">
            <w:rPr>
              <w:rFonts w:asciiTheme="majorHAnsi" w:hAnsiTheme="majorHAnsi"/>
              <w:b/>
              <w:color w:val="372C74" w:themeColor="accent1"/>
              <w:sz w:val="20"/>
            </w:rPr>
            <w:fldChar w:fldCharType="separate"/>
          </w:r>
          <w:r>
            <w:rPr>
              <w:rFonts w:asciiTheme="majorHAnsi" w:hAnsiTheme="majorHAnsi"/>
              <w:b/>
              <w:noProof/>
              <w:color w:val="372C74" w:themeColor="accent1"/>
              <w:sz w:val="20"/>
            </w:rPr>
            <w:t>46</w:t>
          </w:r>
          <w:r w:rsidRPr="00DA7194">
            <w:rPr>
              <w:rFonts w:asciiTheme="majorHAnsi" w:hAnsiTheme="majorHAnsi"/>
              <w:b/>
              <w:color w:val="372C74" w:themeColor="accent1"/>
              <w:sz w:val="20"/>
            </w:rPr>
            <w:fldChar w:fldCharType="end"/>
          </w:r>
        </w:p>
      </w:tc>
    </w:tr>
  </w:tbl>
  <w:p w:rsidR="00494E54" w:rsidRPr="0021195E" w:rsidRDefault="00494E54" w:rsidP="0021195E">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0BC8" w:rsidRDefault="00980BC8" w:rsidP="00AF1713">
      <w:pPr>
        <w:spacing w:before="0" w:after="0" w:line="240" w:lineRule="auto"/>
      </w:pPr>
      <w:r>
        <w:separator/>
      </w:r>
    </w:p>
  </w:footnote>
  <w:footnote w:type="continuationSeparator" w:id="0">
    <w:p w:rsidR="00980BC8" w:rsidRDefault="00980BC8" w:rsidP="00AF1713">
      <w:pPr>
        <w:spacing w:before="0" w:after="0" w:line="240" w:lineRule="auto"/>
      </w:pPr>
      <w:r>
        <w:continuationSeparator/>
      </w:r>
    </w:p>
  </w:footnote>
  <w:footnote w:id="1">
    <w:p w:rsidR="00494E54" w:rsidRPr="00C47529" w:rsidRDefault="00494E54" w:rsidP="00D82C5F">
      <w:pPr>
        <w:pStyle w:val="Textpoznpodarou"/>
        <w:rPr>
          <w:rFonts w:asciiTheme="majorHAnsi" w:hAnsiTheme="majorHAnsi"/>
          <w:szCs w:val="18"/>
        </w:rPr>
      </w:pPr>
      <w:r w:rsidRPr="00C47529">
        <w:rPr>
          <w:rStyle w:val="Znakapoznpodarou"/>
          <w:rFonts w:asciiTheme="majorHAnsi" w:hAnsiTheme="majorHAnsi"/>
          <w:szCs w:val="18"/>
        </w:rPr>
        <w:footnoteRef/>
      </w:r>
      <w:r w:rsidRPr="00C47529">
        <w:rPr>
          <w:rFonts w:asciiTheme="majorHAnsi" w:hAnsiTheme="majorHAnsi"/>
          <w:szCs w:val="18"/>
        </w:rPr>
        <w:t xml:space="preserve"> </w:t>
      </w:r>
      <w:hyperlink r:id="rId1" w:history="1">
        <w:r w:rsidRPr="00533D66">
          <w:rPr>
            <w:rStyle w:val="Hypertextovodkaz"/>
            <w:rFonts w:asciiTheme="majorHAnsi" w:hAnsiTheme="majorHAnsi"/>
            <w:szCs w:val="18"/>
          </w:rPr>
          <w:t>https://vdb.czso.cz/vdbvo2/faces/cs/index.jsf?page=profil-uzemi&amp;uzemiprofil=31548&amp;u=__VUZEMI__43__555428#</w:t>
        </w:r>
      </w:hyperlink>
    </w:p>
  </w:footnote>
  <w:footnote w:id="2">
    <w:p w:rsidR="00494E54" w:rsidRDefault="00494E54" w:rsidP="001F472A">
      <w:pPr>
        <w:pStyle w:val="Textpoznpodarou"/>
        <w:rPr>
          <w:rFonts w:ascii="Times New Roman" w:hAnsi="Times New Roman"/>
        </w:rPr>
      </w:pPr>
      <w:r>
        <w:rPr>
          <w:rStyle w:val="Znakapoznpodarou"/>
        </w:rPr>
        <w:footnoteRef/>
      </w:r>
      <w:r>
        <w:t xml:space="preserve"> </w:t>
      </w:r>
      <w:hyperlink r:id="rId2" w:history="1">
        <w:r w:rsidRPr="00533D66">
          <w:rPr>
            <w:rStyle w:val="Hypertextovodkaz"/>
            <w:rFonts w:ascii="Times New Roman" w:hAnsi="Times New Roman"/>
          </w:rPr>
          <w:t>http://www.geology.cz/app/ciselniky/lokalizace/show_map.php?mapa=g50&amp;y=843340&amp;x=1003450&amp;s=1</w:t>
        </w:r>
      </w:hyperlink>
    </w:p>
    <w:p w:rsidR="00494E54" w:rsidRPr="000F2C48" w:rsidRDefault="00494E54" w:rsidP="001F472A">
      <w:pPr>
        <w:pStyle w:val="Textpoznpodarou"/>
        <w:rPr>
          <w:rFonts w:ascii="Times New Roman" w:hAnsi="Times New Roman"/>
        </w:rPr>
      </w:pPr>
    </w:p>
  </w:footnote>
  <w:footnote w:id="3">
    <w:p w:rsidR="00494E54" w:rsidRDefault="00494E54">
      <w:pPr>
        <w:pStyle w:val="Textpoznpodarou"/>
      </w:pPr>
      <w:r>
        <w:rPr>
          <w:rStyle w:val="Znakapoznpodarou"/>
        </w:rPr>
        <w:footnoteRef/>
      </w:r>
      <w:r>
        <w:t xml:space="preserve"> Převzato z textu „Analýza prostředí“ (REDI 2014)</w:t>
      </w:r>
    </w:p>
  </w:footnote>
  <w:footnote w:id="4">
    <w:p w:rsidR="00494E54" w:rsidRDefault="00494E54" w:rsidP="00066312">
      <w:pPr>
        <w:pStyle w:val="Textpoznpodarou"/>
      </w:pPr>
      <w:r>
        <w:rPr>
          <w:rStyle w:val="Znakapoznpodarou"/>
        </w:rPr>
        <w:footnoteRef/>
      </w:r>
      <w:r>
        <w:t xml:space="preserve"> ÚAP ORP Ostrov</w:t>
      </w:r>
    </w:p>
  </w:footnote>
  <w:footnote w:id="5">
    <w:p w:rsidR="00494E54" w:rsidRPr="002D5666" w:rsidRDefault="00494E54" w:rsidP="00F203CA">
      <w:pPr>
        <w:pStyle w:val="Textpoznpodarou"/>
        <w:ind w:left="284" w:hanging="143"/>
        <w:rPr>
          <w:rFonts w:ascii="Times New Roman" w:hAnsi="Times New Roman"/>
        </w:rPr>
      </w:pPr>
      <w:r>
        <w:rPr>
          <w:rStyle w:val="Znakapoznpodarou"/>
        </w:rPr>
        <w:footnoteRef/>
      </w:r>
      <w:r>
        <w:t xml:space="preserve"> </w:t>
      </w:r>
      <w:r>
        <w:rPr>
          <w:rFonts w:ascii="Times New Roman" w:hAnsi="Times New Roman"/>
        </w:rPr>
        <w:tab/>
      </w:r>
      <w:hyperlink r:id="rId3" w:history="1">
        <w:r w:rsidRPr="00514DF2">
          <w:rPr>
            <w:rStyle w:val="Hypertextovodkaz"/>
            <w:rFonts w:ascii="Times New Roman" w:hAnsi="Times New Roman"/>
          </w:rPr>
          <w:t>http://vdb.czso.cz/vdbvo2</w:t>
        </w:r>
      </w:hyperlink>
    </w:p>
  </w:footnote>
  <w:footnote w:id="6">
    <w:p w:rsidR="00494E54" w:rsidRPr="002D5666" w:rsidRDefault="00494E54" w:rsidP="00155DC6">
      <w:pPr>
        <w:pStyle w:val="Textpoznpodarou"/>
        <w:ind w:left="284" w:hanging="143"/>
        <w:rPr>
          <w:rFonts w:ascii="Times New Roman" w:hAnsi="Times New Roman"/>
        </w:rPr>
      </w:pPr>
      <w:r>
        <w:rPr>
          <w:rStyle w:val="Znakapoznpodarou"/>
        </w:rPr>
        <w:footnoteRef/>
      </w:r>
      <w:r>
        <w:t xml:space="preserve"> </w:t>
      </w:r>
      <w:r>
        <w:rPr>
          <w:rFonts w:ascii="Times New Roman" w:hAnsi="Times New Roman"/>
        </w:rPr>
        <w:tab/>
      </w:r>
      <w:hyperlink r:id="rId4" w:history="1">
        <w:r w:rsidRPr="00EE4D8B">
          <w:rPr>
            <w:rStyle w:val="Hypertextovodkaz"/>
            <w:rFonts w:ascii="Times New Roman" w:hAnsi="Times New Roman"/>
          </w:rPr>
          <w:t>http://vdb.czso.cz/vdbvo2</w:t>
        </w:r>
      </w:hyperlink>
    </w:p>
  </w:footnote>
  <w:footnote w:id="7">
    <w:p w:rsidR="00494E54" w:rsidRPr="00843540" w:rsidRDefault="00494E54" w:rsidP="00843540">
      <w:pPr>
        <w:pStyle w:val="Textpoznpodarou"/>
        <w:jc w:val="left"/>
        <w:rPr>
          <w:spacing w:val="-4"/>
        </w:rPr>
      </w:pPr>
      <w:r>
        <w:rPr>
          <w:rStyle w:val="Znakapoznpodarou"/>
        </w:rPr>
        <w:footnoteRef/>
      </w:r>
      <w:r>
        <w:t xml:space="preserve"> </w:t>
      </w:r>
      <w:hyperlink r:id="rId5" w:history="1">
        <w:r w:rsidRPr="00843540">
          <w:rPr>
            <w:rStyle w:val="Hypertextovodkaz"/>
            <w:rFonts w:asciiTheme="majorHAnsi" w:hAnsiTheme="majorHAnsi"/>
            <w:spacing w:val="-4"/>
            <w:sz w:val="16"/>
            <w:szCs w:val="16"/>
          </w:rPr>
          <w:t>https://vdb.czso.cz/vdbvo2/faces/cs/index.jsf?page=vystup- objekt&amp;pvo=DEM05&amp;f=TABULKA&amp;z=T&amp;skupId=546&amp;katalog=30845&amp;pvo=DEM05&amp;str=v109&amp;c=v3~3__RP2016&amp;u=v109__VUZEMI__43__555428</w:t>
        </w:r>
      </w:hyperlink>
    </w:p>
  </w:footnote>
  <w:footnote w:id="8">
    <w:p w:rsidR="00494E54" w:rsidRPr="002D5666" w:rsidRDefault="00494E54" w:rsidP="00843540">
      <w:pPr>
        <w:pStyle w:val="Textpoznpodarou"/>
        <w:ind w:left="142" w:hanging="143"/>
        <w:rPr>
          <w:rFonts w:ascii="Times New Roman" w:hAnsi="Times New Roman"/>
        </w:rPr>
      </w:pPr>
      <w:r>
        <w:rPr>
          <w:rStyle w:val="Znakapoznpodarou"/>
        </w:rPr>
        <w:footnoteRef/>
      </w:r>
      <w:r>
        <w:t xml:space="preserve"> </w:t>
      </w:r>
      <w:r>
        <w:rPr>
          <w:rFonts w:ascii="Times New Roman" w:hAnsi="Times New Roman"/>
        </w:rPr>
        <w:tab/>
      </w:r>
      <w:hyperlink r:id="rId6" w:history="1">
        <w:r w:rsidRPr="00634BC2">
          <w:rPr>
            <w:rStyle w:val="Hypertextovodkaz"/>
            <w:rFonts w:ascii="Times New Roman" w:hAnsi="Times New Roman"/>
          </w:rPr>
          <w:t>http://vdb.czso.cz/vdbvo2</w:t>
        </w:r>
      </w:hyperlink>
    </w:p>
  </w:footnote>
  <w:footnote w:id="9">
    <w:p w:rsidR="00494E54" w:rsidRDefault="00494E54">
      <w:pPr>
        <w:pStyle w:val="Textpoznpodarou"/>
      </w:pPr>
      <w:r>
        <w:rPr>
          <w:rStyle w:val="Znakapoznpodarou"/>
        </w:rPr>
        <w:footnoteRef/>
      </w:r>
      <w:r>
        <w:t xml:space="preserve"> GAC 2006</w:t>
      </w:r>
    </w:p>
  </w:footnote>
  <w:footnote w:id="10">
    <w:p w:rsidR="00494E54" w:rsidRDefault="00494E54" w:rsidP="00414B92">
      <w:pPr>
        <w:pStyle w:val="Textpoznpodarou"/>
      </w:pPr>
      <w:r>
        <w:rPr>
          <w:rStyle w:val="Znakapoznpodarou"/>
        </w:rPr>
        <w:footnoteRef/>
      </w:r>
      <w:r>
        <w:t xml:space="preserve"> ANALÝZA SOCIÁLNĚ VYLOUČENÝCH ROMSKÝCH LOKALIT V KARLOVARSKÉM KRAJI, TD kontext 2013</w:t>
      </w:r>
    </w:p>
  </w:footnote>
  <w:footnote w:id="11">
    <w:p w:rsidR="00494E54" w:rsidRDefault="00494E54">
      <w:pPr>
        <w:pStyle w:val="Textpoznpodarou"/>
      </w:pPr>
      <w:r>
        <w:rPr>
          <w:rStyle w:val="Znakapoznpodarou"/>
        </w:rPr>
        <w:footnoteRef/>
      </w:r>
      <w:r>
        <w:t xml:space="preserve"> TD kontext 2013</w:t>
      </w:r>
    </w:p>
  </w:footnote>
  <w:footnote w:id="12">
    <w:p w:rsidR="00494E54" w:rsidRDefault="00494E54" w:rsidP="00250266">
      <w:pPr>
        <w:pStyle w:val="Textpoznpodarou"/>
      </w:pPr>
      <w:r>
        <w:rPr>
          <w:rStyle w:val="Znakapoznpodarou"/>
        </w:rPr>
        <w:footnoteRef/>
      </w:r>
      <w:r>
        <w:t xml:space="preserve"> </w:t>
      </w:r>
      <w:hyperlink r:id="rId7" w:history="1">
        <w:r w:rsidRPr="00634BC2">
          <w:rPr>
            <w:rStyle w:val="Hypertextovodkaz"/>
          </w:rPr>
          <w:t>http://www.dk-ostrov.cz/infocentrum/vylety-do-ostrova</w:t>
        </w:r>
      </w:hyperlink>
    </w:p>
  </w:footnote>
  <w:footnote w:id="13">
    <w:p w:rsidR="00494E54" w:rsidRDefault="00494E54">
      <w:pPr>
        <w:pStyle w:val="Textpoznpodarou"/>
      </w:pPr>
      <w:r>
        <w:rPr>
          <w:rStyle w:val="Znakapoznpodarou"/>
        </w:rPr>
        <w:footnoteRef/>
      </w:r>
      <w:r>
        <w:t xml:space="preserve"> </w:t>
      </w:r>
      <w:hyperlink r:id="rId8" w:history="1">
        <w:r w:rsidRPr="00421F3E">
          <w:rPr>
            <w:rStyle w:val="Hypertextovodkaz"/>
          </w:rPr>
          <w:t>http://www.ceskemo106.cz/</w:t>
        </w:r>
      </w:hyperlink>
    </w:p>
  </w:footnote>
  <w:footnote w:id="14">
    <w:p w:rsidR="00494E54" w:rsidRDefault="00494E54" w:rsidP="00250266">
      <w:pPr>
        <w:pStyle w:val="Textpoznpodarou"/>
      </w:pPr>
      <w:r>
        <w:rPr>
          <w:rStyle w:val="Znakapoznpodarou"/>
        </w:rPr>
        <w:footnoteRef/>
      </w:r>
      <w:r>
        <w:t xml:space="preserve"> </w:t>
      </w:r>
      <w:hyperlink r:id="rId9" w:history="1">
        <w:r w:rsidRPr="00634BC2">
          <w:rPr>
            <w:rStyle w:val="Hypertextovodkaz"/>
          </w:rPr>
          <w:t>http://cykloportal.ostrov.cz/cz/</w:t>
        </w:r>
      </w:hyperlink>
    </w:p>
    <w:p w:rsidR="00494E54" w:rsidRDefault="00494E54" w:rsidP="00250266">
      <w:pPr>
        <w:pStyle w:val="Textpoznpodarou"/>
      </w:pPr>
    </w:p>
  </w:footnote>
  <w:footnote w:id="15">
    <w:p w:rsidR="00494E54" w:rsidRDefault="00494E54" w:rsidP="003C564F">
      <w:pPr>
        <w:pStyle w:val="Textpoznpodarou"/>
      </w:pPr>
      <w:r>
        <w:rPr>
          <w:rStyle w:val="Znakapoznpodarou"/>
        </w:rPr>
        <w:footnoteRef/>
      </w:r>
      <w:r>
        <w:t xml:space="preserve"> </w:t>
      </w:r>
      <w:r w:rsidRPr="00994DFA">
        <w:t>http://www.poh.cz/VHP/pdp/OHL_III/TABELARNI_CAST/OHL_III_2_1_b.pdf</w:t>
      </w:r>
    </w:p>
  </w:footnote>
  <w:footnote w:id="16">
    <w:p w:rsidR="00494E54" w:rsidRDefault="00494E54" w:rsidP="003C564F">
      <w:pPr>
        <w:pStyle w:val="Textpoznpodarou"/>
      </w:pPr>
      <w:r>
        <w:rPr>
          <w:rStyle w:val="Znakapoznpodarou"/>
        </w:rPr>
        <w:footnoteRef/>
      </w:r>
      <w:r>
        <w:t xml:space="preserve"> </w:t>
      </w:r>
      <w:r w:rsidRPr="002A5536">
        <w:t>http://www.poh.cz/VHP/pdp/OHL_III/TABELARNI_CAST/OHL_III_2_2_a.pdf</w:t>
      </w:r>
    </w:p>
  </w:footnote>
  <w:footnote w:id="17">
    <w:p w:rsidR="00494E54" w:rsidRDefault="00494E54" w:rsidP="004668D5">
      <w:pPr>
        <w:pStyle w:val="Textpoznpodarou"/>
      </w:pPr>
      <w:r>
        <w:rPr>
          <w:rStyle w:val="Znakapoznpodarou"/>
        </w:rPr>
        <w:footnoteRef/>
      </w:r>
      <w:r>
        <w:t xml:space="preserve"> </w:t>
      </w:r>
      <w:r w:rsidRPr="008E1CF0">
        <w:t>http://webmap.kr-karlovarsky.cz/dpp/pub_4106/</w:t>
      </w:r>
    </w:p>
  </w:footnote>
  <w:footnote w:id="18">
    <w:p w:rsidR="00494E54" w:rsidRDefault="00494E54" w:rsidP="003C564F">
      <w:pPr>
        <w:pStyle w:val="Textpoznpodarou"/>
      </w:pPr>
      <w:r>
        <w:rPr>
          <w:rStyle w:val="Znakapoznpodarou"/>
        </w:rPr>
        <w:footnoteRef/>
      </w:r>
      <w:r>
        <w:t xml:space="preserve"> </w:t>
      </w:r>
      <w:r w:rsidRPr="00DA6B2E">
        <w:t>http://www.risy.cz/cs/vyhledavace/obce/detail?Zuj=555428</w:t>
      </w:r>
    </w:p>
  </w:footnote>
  <w:footnote w:id="19">
    <w:p w:rsidR="00494E54" w:rsidRDefault="00494E54" w:rsidP="003C564F">
      <w:pPr>
        <w:pStyle w:val="Textpoznpodarou"/>
      </w:pPr>
      <w:r>
        <w:rPr>
          <w:rStyle w:val="Znakapoznpodarou"/>
        </w:rPr>
        <w:footnoteRef/>
      </w:r>
      <w:r>
        <w:t xml:space="preserve"> </w:t>
      </w:r>
      <w:r w:rsidRPr="00835200">
        <w:t>http://scitani2016.rsd.cz/content/doc/41-05.jpg?v=2016b</w:t>
      </w:r>
    </w:p>
  </w:footnote>
  <w:footnote w:id="20">
    <w:p w:rsidR="00494E54" w:rsidRDefault="00494E54" w:rsidP="003C564F">
      <w:pPr>
        <w:pStyle w:val="Textpoznpodarou"/>
      </w:pPr>
      <w:r>
        <w:rPr>
          <w:rStyle w:val="Znakapoznpodarou"/>
        </w:rPr>
        <w:footnoteRef/>
      </w:r>
      <w:r>
        <w:t xml:space="preserve"> </w:t>
      </w:r>
      <w:r w:rsidRPr="00FF10BC">
        <w:t>http://scitani2016.rsd.cz/content/doc/41.jpg?v=2016</w:t>
      </w:r>
    </w:p>
  </w:footnote>
  <w:footnote w:id="21">
    <w:p w:rsidR="00494E54" w:rsidRDefault="00494E54" w:rsidP="00C27356">
      <w:pPr>
        <w:pStyle w:val="Textpoznpodarou"/>
      </w:pPr>
      <w:r>
        <w:rPr>
          <w:rStyle w:val="Znakapoznpodarou"/>
        </w:rPr>
        <w:footnoteRef/>
      </w:r>
      <w:r>
        <w:t xml:space="preserve"> Příjem obce po konsolidaci dělený počtem obyvatel</w:t>
      </w:r>
    </w:p>
  </w:footnote>
  <w:footnote w:id="22">
    <w:p w:rsidR="00494E54" w:rsidRDefault="00494E54" w:rsidP="00C27356">
      <w:pPr>
        <w:pStyle w:val="Textpoznpodarou"/>
      </w:pPr>
      <w:r>
        <w:rPr>
          <w:rStyle w:val="Znakapoznpodarou"/>
        </w:rPr>
        <w:footnoteRef/>
      </w:r>
      <w:r>
        <w:t xml:space="preserve"> Cizí zdroje v účetní bilanci obce dělené počtem obyvatel</w:t>
      </w:r>
    </w:p>
  </w:footnote>
  <w:footnote w:id="23">
    <w:p w:rsidR="00494E54" w:rsidRDefault="00494E54" w:rsidP="00C27356">
      <w:pPr>
        <w:pStyle w:val="Textpoznpodarou"/>
      </w:pPr>
      <w:r>
        <w:rPr>
          <w:rStyle w:val="Znakapoznpodarou"/>
        </w:rPr>
        <w:footnoteRef/>
      </w:r>
      <w:r>
        <w:t xml:space="preserve"> Podíl cizích zdrojů a celkových aktiv v účetní bilanci obce - údaj sledovaný MF</w:t>
      </w:r>
    </w:p>
  </w:footnote>
  <w:footnote w:id="24">
    <w:p w:rsidR="00494E54" w:rsidRDefault="00494E54" w:rsidP="00C27356">
      <w:pPr>
        <w:pStyle w:val="Textpoznpodarou"/>
      </w:pPr>
      <w:r>
        <w:rPr>
          <w:rStyle w:val="Znakapoznpodarou"/>
        </w:rPr>
        <w:footnoteRef/>
      </w:r>
      <w:r>
        <w:t xml:space="preserve"> Podíl úroků a splátek úvěrů a dluhopisů na celkových příjmech obce</w:t>
      </w:r>
    </w:p>
  </w:footnote>
  <w:footnote w:id="25">
    <w:p w:rsidR="00494E54" w:rsidRDefault="00494E54" w:rsidP="00C27356">
      <w:pPr>
        <w:pStyle w:val="Textpoznpodarou"/>
      </w:pPr>
      <w:r>
        <w:rPr>
          <w:rStyle w:val="Znakapoznpodarou"/>
        </w:rPr>
        <w:footnoteRef/>
      </w:r>
      <w:r>
        <w:t xml:space="preserve"> Podíl oběžných aktiv a krátkodobých závazků - údaj sledovaný MF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54" w:rsidRDefault="00494E54" w:rsidP="009F23C7">
    <w:pPr>
      <w:pStyle w:val="Zhlav"/>
      <w:rPr>
        <w:i/>
        <w:color w:val="808080"/>
        <w:sz w:val="20"/>
      </w:rPr>
    </w:pPr>
    <w:r>
      <w:rPr>
        <w:noProof/>
        <w:lang w:eastAsia="cs-CZ" w:bidi="ar-SA"/>
      </w:rPr>
      <w:drawing>
        <wp:inline distT="0" distB="0" distL="0" distR="0">
          <wp:extent cx="2867660" cy="593725"/>
          <wp:effectExtent l="19050" t="0" r="889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
                  <a:srcRect/>
                  <a:stretch>
                    <a:fillRect/>
                  </a:stretch>
                </pic:blipFill>
                <pic:spPr bwMode="auto">
                  <a:xfrm>
                    <a:off x="0" y="0"/>
                    <a:ext cx="2867660" cy="593725"/>
                  </a:xfrm>
                  <a:prstGeom prst="rect">
                    <a:avLst/>
                  </a:prstGeom>
                  <a:noFill/>
                  <a:ln w="9525">
                    <a:noFill/>
                    <a:miter lim="800000"/>
                    <a:headEnd/>
                    <a:tailEnd/>
                  </a:ln>
                </pic:spPr>
              </pic:pic>
            </a:graphicData>
          </a:graphic>
        </wp:inline>
      </w:drawing>
    </w:r>
  </w:p>
  <w:p w:rsidR="00494E54" w:rsidRPr="009F23C7" w:rsidRDefault="00494E54" w:rsidP="009F23C7">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Mkatabulky"/>
      <w:tblW w:w="0" w:type="auto"/>
      <w:tblBorders>
        <w:top w:val="none" w:sz="0" w:space="0" w:color="auto"/>
        <w:left w:val="none" w:sz="0" w:space="0" w:color="auto"/>
        <w:bottom w:val="single" w:sz="4" w:space="0" w:color="372C74" w:themeColor="accent1"/>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851"/>
      <w:gridCol w:w="850"/>
      <w:gridCol w:w="851"/>
      <w:gridCol w:w="2332"/>
    </w:tblGrid>
    <w:tr w:rsidR="00494E54" w:rsidRPr="00DA7194" w:rsidTr="009F3B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494E54" w:rsidRPr="00DA7194" w:rsidRDefault="00494E54" w:rsidP="009F3B4E">
          <w:pPr>
            <w:pStyle w:val="Zhlav"/>
            <w:tabs>
              <w:tab w:val="left" w:pos="6300"/>
            </w:tabs>
            <w:spacing w:after="120"/>
            <w:rPr>
              <w:rFonts w:asciiTheme="majorHAnsi" w:hAnsiTheme="majorHAnsi" w:cs="Arial"/>
              <w:color w:val="372C74" w:themeColor="accent1"/>
              <w:sz w:val="20"/>
            </w:rPr>
          </w:pPr>
          <w:r w:rsidRPr="00DA7194">
            <w:rPr>
              <w:rFonts w:asciiTheme="majorHAnsi" w:hAnsiTheme="majorHAnsi" w:cs="Arial"/>
              <w:color w:val="372C74" w:themeColor="accent1"/>
              <w:sz w:val="20"/>
            </w:rPr>
            <w:t>Analýza absorpční kapacity priorit hl. m. Prahy</w:t>
          </w:r>
          <w:r>
            <w:rPr>
              <w:rFonts w:asciiTheme="majorHAnsi" w:hAnsiTheme="majorHAnsi" w:cs="Arial"/>
              <w:color w:val="372C74" w:themeColor="accent1"/>
              <w:sz w:val="20"/>
            </w:rPr>
            <w:br/>
          </w:r>
          <w:r w:rsidRPr="00DA7194">
            <w:rPr>
              <w:rFonts w:asciiTheme="majorHAnsi" w:hAnsiTheme="majorHAnsi" w:cs="Arial"/>
              <w:color w:val="372C74" w:themeColor="accent1"/>
              <w:sz w:val="20"/>
            </w:rPr>
            <w:t>v rámci politiky soudržnosti pro období 2014–2020</w:t>
          </w:r>
        </w:p>
      </w:tc>
      <w:tc>
        <w:tcPr>
          <w:tcW w:w="851" w:type="dxa"/>
        </w:tcPr>
        <w:p w:rsidR="00494E54" w:rsidRPr="00DA7194" w:rsidRDefault="00494E54" w:rsidP="009F3B4E">
          <w:pPr>
            <w:pStyle w:val="Zhlav"/>
            <w:tabs>
              <w:tab w:val="left" w:pos="6300"/>
            </w:tabs>
            <w:spacing w:after="12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372C74" w:themeColor="accent1"/>
              <w:sz w:val="20"/>
            </w:rPr>
          </w:pPr>
          <w:r w:rsidRPr="00DA7194">
            <w:rPr>
              <w:rFonts w:asciiTheme="majorHAnsi" w:hAnsiTheme="majorHAnsi" w:cs="Arial"/>
              <w:noProof/>
              <w:color w:val="372C74" w:themeColor="accent1"/>
              <w:sz w:val="20"/>
              <w:lang w:eastAsia="cs-CZ" w:bidi="ar-SA"/>
            </w:rPr>
            <w:drawing>
              <wp:inline distT="0" distB="0" distL="0" distR="0">
                <wp:extent cx="401955" cy="405130"/>
                <wp:effectExtent l="19050" t="0" r="0" b="0"/>
                <wp:docPr id="34" name="obrázek 11" descr="http://www.prahafondy.eu/userfiles/File/OPPA%20loga/OPPA_logo_bez_tex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rahafondy.eu/userfiles/File/OPPA%20loga/OPPA_logo_bez_textu.jpg"/>
                        <pic:cNvPicPr>
                          <a:picLocks noChangeAspect="1" noChangeArrowheads="1"/>
                        </pic:cNvPicPr>
                      </pic:nvPicPr>
                      <pic:blipFill>
                        <a:blip r:embed="rId1"/>
                        <a:srcRect/>
                        <a:stretch>
                          <a:fillRect/>
                        </a:stretch>
                      </pic:blipFill>
                      <pic:spPr bwMode="auto">
                        <a:xfrm>
                          <a:off x="0" y="0"/>
                          <a:ext cx="401955" cy="405130"/>
                        </a:xfrm>
                        <a:prstGeom prst="rect">
                          <a:avLst/>
                        </a:prstGeom>
                        <a:noFill/>
                        <a:ln w="9525">
                          <a:noFill/>
                          <a:miter lim="800000"/>
                          <a:headEnd/>
                          <a:tailEnd/>
                        </a:ln>
                      </pic:spPr>
                    </pic:pic>
                  </a:graphicData>
                </a:graphic>
              </wp:inline>
            </w:drawing>
          </w:r>
        </w:p>
      </w:tc>
      <w:tc>
        <w:tcPr>
          <w:tcW w:w="850" w:type="dxa"/>
        </w:tcPr>
        <w:p w:rsidR="00494E54" w:rsidRPr="00DA7194" w:rsidRDefault="00494E54" w:rsidP="009F3B4E">
          <w:pPr>
            <w:pStyle w:val="Zhlav"/>
            <w:tabs>
              <w:tab w:val="left" w:pos="6300"/>
            </w:tabs>
            <w:spacing w:after="12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372C74" w:themeColor="accent1"/>
              <w:sz w:val="20"/>
            </w:rPr>
          </w:pPr>
          <w:r w:rsidRPr="00DA7194">
            <w:rPr>
              <w:rFonts w:asciiTheme="majorHAnsi" w:hAnsiTheme="majorHAnsi" w:cs="Arial"/>
              <w:noProof/>
              <w:color w:val="372C74" w:themeColor="accent1"/>
              <w:sz w:val="20"/>
              <w:lang w:eastAsia="cs-CZ" w:bidi="ar-SA"/>
            </w:rPr>
            <w:drawing>
              <wp:inline distT="0" distB="0" distL="0" distR="0">
                <wp:extent cx="401955" cy="405130"/>
                <wp:effectExtent l="19050" t="0" r="0" b="0"/>
                <wp:docPr id="35" name="obrázek 10" descr="C:\Documents and Settings\Uzivatel\Dokumenty\Jiri Duzar\Absorpční kapacita OP PPR ČR 2014+\OPPK_POZ_v_barve_bez_tex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zivatel\Dokumenty\Jiri Duzar\Absorpční kapacita OP PPR ČR 2014+\OPPK_POZ_v_barve_bez_textu.jpg"/>
                        <pic:cNvPicPr>
                          <a:picLocks noChangeAspect="1" noChangeArrowheads="1"/>
                        </pic:cNvPicPr>
                      </pic:nvPicPr>
                      <pic:blipFill>
                        <a:blip r:embed="rId2"/>
                        <a:srcRect/>
                        <a:stretch>
                          <a:fillRect/>
                        </a:stretch>
                      </pic:blipFill>
                      <pic:spPr bwMode="auto">
                        <a:xfrm>
                          <a:off x="0" y="0"/>
                          <a:ext cx="401955" cy="405130"/>
                        </a:xfrm>
                        <a:prstGeom prst="rect">
                          <a:avLst/>
                        </a:prstGeom>
                        <a:noFill/>
                        <a:ln w="9525">
                          <a:noFill/>
                          <a:miter lim="800000"/>
                          <a:headEnd/>
                          <a:tailEnd/>
                        </a:ln>
                      </pic:spPr>
                    </pic:pic>
                  </a:graphicData>
                </a:graphic>
              </wp:inline>
            </w:drawing>
          </w:r>
        </w:p>
      </w:tc>
      <w:tc>
        <w:tcPr>
          <w:tcW w:w="851" w:type="dxa"/>
        </w:tcPr>
        <w:p w:rsidR="00494E54" w:rsidRPr="00DA7194" w:rsidRDefault="00494E54" w:rsidP="009F3B4E">
          <w:pPr>
            <w:pStyle w:val="Zhlav"/>
            <w:tabs>
              <w:tab w:val="left" w:pos="6300"/>
            </w:tabs>
            <w:spacing w:after="12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372C74" w:themeColor="accent1"/>
              <w:sz w:val="20"/>
            </w:rPr>
          </w:pPr>
          <w:r w:rsidRPr="00DA7194">
            <w:rPr>
              <w:rFonts w:asciiTheme="majorHAnsi" w:hAnsiTheme="majorHAnsi" w:cs="Arial"/>
              <w:noProof/>
              <w:color w:val="372C74" w:themeColor="accent1"/>
              <w:sz w:val="20"/>
              <w:lang w:eastAsia="cs-CZ" w:bidi="ar-SA"/>
            </w:rPr>
            <w:drawing>
              <wp:inline distT="0" distB="0" distL="0" distR="0">
                <wp:extent cx="401955" cy="405130"/>
                <wp:effectExtent l="19050" t="0" r="0" b="0"/>
                <wp:docPr id="36" name="obrázek 17" descr="http://www.prahafondy.eu/userfiles/File/OPPA%20loga/Pra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rahafondy.eu/userfiles/File/OPPA%20loga/Praha.jpg"/>
                        <pic:cNvPicPr>
                          <a:picLocks noChangeAspect="1" noChangeArrowheads="1"/>
                        </pic:cNvPicPr>
                      </pic:nvPicPr>
                      <pic:blipFill>
                        <a:blip r:embed="rId3"/>
                        <a:srcRect/>
                        <a:stretch>
                          <a:fillRect/>
                        </a:stretch>
                      </pic:blipFill>
                      <pic:spPr bwMode="auto">
                        <a:xfrm>
                          <a:off x="0" y="0"/>
                          <a:ext cx="401955" cy="405130"/>
                        </a:xfrm>
                        <a:prstGeom prst="rect">
                          <a:avLst/>
                        </a:prstGeom>
                        <a:noFill/>
                        <a:ln w="9525">
                          <a:noFill/>
                          <a:miter lim="800000"/>
                          <a:headEnd/>
                          <a:tailEnd/>
                        </a:ln>
                      </pic:spPr>
                    </pic:pic>
                  </a:graphicData>
                </a:graphic>
              </wp:inline>
            </w:drawing>
          </w:r>
        </w:p>
      </w:tc>
      <w:tc>
        <w:tcPr>
          <w:tcW w:w="2332" w:type="dxa"/>
        </w:tcPr>
        <w:p w:rsidR="00494E54" w:rsidRPr="00DA7194" w:rsidRDefault="00494E54" w:rsidP="009F3B4E">
          <w:pPr>
            <w:pStyle w:val="Zhlav"/>
            <w:tabs>
              <w:tab w:val="left" w:pos="6300"/>
            </w:tabs>
            <w:spacing w:after="120"/>
            <w:cnfStyle w:val="100000000000" w:firstRow="1" w:lastRow="0" w:firstColumn="0" w:lastColumn="0" w:oddVBand="0" w:evenVBand="0" w:oddHBand="0" w:evenHBand="0" w:firstRowFirstColumn="0" w:firstRowLastColumn="0" w:lastRowFirstColumn="0" w:lastRowLastColumn="0"/>
            <w:rPr>
              <w:rFonts w:asciiTheme="majorHAnsi" w:hAnsiTheme="majorHAnsi" w:cs="Arial"/>
              <w:color w:val="372C74" w:themeColor="accent1"/>
              <w:sz w:val="20"/>
            </w:rPr>
          </w:pPr>
          <w:r w:rsidRPr="00DA7194">
            <w:rPr>
              <w:rFonts w:asciiTheme="majorHAnsi" w:hAnsiTheme="majorHAnsi" w:cs="Arial"/>
              <w:noProof/>
              <w:color w:val="372C74" w:themeColor="accent1"/>
              <w:sz w:val="20"/>
              <w:lang w:eastAsia="cs-CZ" w:bidi="ar-SA"/>
            </w:rPr>
            <w:drawing>
              <wp:inline distT="0" distB="0" distL="0" distR="0">
                <wp:extent cx="1412185" cy="453224"/>
                <wp:effectExtent l="19050" t="0" r="0" b="0"/>
                <wp:docPr id="37" name="obrázek 14" descr="http://www.prahafondy.eu/userfiles/File/OPPA%20loga/EU_male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rahafondy.eu/userfiles/File/OPPA%20loga/EU_male_RGB.jpg"/>
                        <pic:cNvPicPr>
                          <a:picLocks noChangeAspect="1" noChangeArrowheads="1"/>
                        </pic:cNvPicPr>
                      </pic:nvPicPr>
                      <pic:blipFill>
                        <a:blip r:embed="rId4"/>
                        <a:srcRect/>
                        <a:stretch>
                          <a:fillRect/>
                        </a:stretch>
                      </pic:blipFill>
                      <pic:spPr bwMode="auto">
                        <a:xfrm>
                          <a:off x="0" y="0"/>
                          <a:ext cx="1412185" cy="453224"/>
                        </a:xfrm>
                        <a:prstGeom prst="rect">
                          <a:avLst/>
                        </a:prstGeom>
                        <a:noFill/>
                        <a:ln w="9525">
                          <a:noFill/>
                          <a:miter lim="800000"/>
                          <a:headEnd/>
                          <a:tailEnd/>
                        </a:ln>
                      </pic:spPr>
                    </pic:pic>
                  </a:graphicData>
                </a:graphic>
              </wp:inline>
            </w:drawing>
          </w:r>
        </w:p>
      </w:tc>
    </w:tr>
  </w:tbl>
  <w:p w:rsidR="00494E54" w:rsidRPr="0021195E" w:rsidRDefault="00494E54" w:rsidP="0021195E">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rPr>
    </w:lvl>
  </w:abstractNum>
  <w:abstractNum w:abstractNumId="1">
    <w:nsid w:val="00000037"/>
    <w:multiLevelType w:val="multilevel"/>
    <w:tmpl w:val="00000037"/>
    <w:name w:val="WW8Num58"/>
    <w:lvl w:ilvl="0">
      <w:start w:val="1"/>
      <w:numFmt w:val="lowerLetter"/>
      <w:lvlText w:val="%1)"/>
      <w:lvlJc w:val="left"/>
      <w:pPr>
        <w:tabs>
          <w:tab w:val="num" w:pos="720"/>
        </w:tabs>
        <w:ind w:left="720" w:hanging="360"/>
      </w:pPr>
      <w:rPr>
        <w:b/>
        <w:bCs w:val="0"/>
      </w:rPr>
    </w:lvl>
    <w:lvl w:ilvl="1">
      <w:start w:val="1"/>
      <w:numFmt w:val="bullet"/>
      <w:lvlText w:val=""/>
      <w:lvlJc w:val="left"/>
      <w:pPr>
        <w:tabs>
          <w:tab w:val="num" w:pos="1440"/>
        </w:tabs>
        <w:ind w:left="1440" w:hanging="360"/>
      </w:pPr>
      <w:rPr>
        <w:rFonts w:ascii="Symbol" w:hAnsi="Symbol"/>
        <w:b/>
        <w:bCs w:val="0"/>
        <w:sz w:val="20"/>
        <w:szCs w:val="20"/>
      </w:rPr>
    </w:lvl>
    <w:lvl w:ilvl="2">
      <w:start w:val="1"/>
      <w:numFmt w:val="decimal"/>
      <w:lvlText w:val="%3."/>
      <w:lvlJc w:val="left"/>
      <w:pPr>
        <w:tabs>
          <w:tab w:val="num" w:pos="2385"/>
        </w:tabs>
        <w:ind w:left="2385" w:hanging="405"/>
      </w:pPr>
      <w:rPr>
        <w:u w:val="none"/>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1DB4C67"/>
    <w:multiLevelType w:val="hybridMultilevel"/>
    <w:tmpl w:val="03C4F04A"/>
    <w:lvl w:ilvl="0" w:tplc="F29C0F1E">
      <w:start w:val="1"/>
      <w:numFmt w:val="decimal"/>
      <w:lvlText w:val="(%1)"/>
      <w:lvlJc w:val="left"/>
      <w:pPr>
        <w:ind w:left="162" w:hanging="360"/>
      </w:pPr>
      <w:rPr>
        <w:rFonts w:hint="default"/>
        <w:b/>
      </w:rPr>
    </w:lvl>
    <w:lvl w:ilvl="1" w:tplc="04090019">
      <w:start w:val="1"/>
      <w:numFmt w:val="lowerLetter"/>
      <w:lvlText w:val="%2."/>
      <w:lvlJc w:val="left"/>
      <w:pPr>
        <w:ind w:left="1242" w:hanging="360"/>
      </w:pPr>
    </w:lvl>
    <w:lvl w:ilvl="2" w:tplc="0409001B" w:tentative="1">
      <w:start w:val="1"/>
      <w:numFmt w:val="lowerRoman"/>
      <w:lvlText w:val="%3."/>
      <w:lvlJc w:val="right"/>
      <w:pPr>
        <w:ind w:left="1962" w:hanging="180"/>
      </w:pPr>
    </w:lvl>
    <w:lvl w:ilvl="3" w:tplc="0409000F" w:tentative="1">
      <w:start w:val="1"/>
      <w:numFmt w:val="decimal"/>
      <w:lvlText w:val="%4."/>
      <w:lvlJc w:val="left"/>
      <w:pPr>
        <w:ind w:left="2682" w:hanging="360"/>
      </w:pPr>
    </w:lvl>
    <w:lvl w:ilvl="4" w:tplc="04090019" w:tentative="1">
      <w:start w:val="1"/>
      <w:numFmt w:val="lowerLetter"/>
      <w:lvlText w:val="%5."/>
      <w:lvlJc w:val="left"/>
      <w:pPr>
        <w:ind w:left="3402" w:hanging="360"/>
      </w:pPr>
    </w:lvl>
    <w:lvl w:ilvl="5" w:tplc="0409001B" w:tentative="1">
      <w:start w:val="1"/>
      <w:numFmt w:val="lowerRoman"/>
      <w:lvlText w:val="%6."/>
      <w:lvlJc w:val="right"/>
      <w:pPr>
        <w:ind w:left="4122" w:hanging="180"/>
      </w:pPr>
    </w:lvl>
    <w:lvl w:ilvl="6" w:tplc="0409000F" w:tentative="1">
      <w:start w:val="1"/>
      <w:numFmt w:val="decimal"/>
      <w:lvlText w:val="%7."/>
      <w:lvlJc w:val="left"/>
      <w:pPr>
        <w:ind w:left="4842" w:hanging="360"/>
      </w:pPr>
    </w:lvl>
    <w:lvl w:ilvl="7" w:tplc="04090019" w:tentative="1">
      <w:start w:val="1"/>
      <w:numFmt w:val="lowerLetter"/>
      <w:lvlText w:val="%8."/>
      <w:lvlJc w:val="left"/>
      <w:pPr>
        <w:ind w:left="5562" w:hanging="360"/>
      </w:pPr>
    </w:lvl>
    <w:lvl w:ilvl="8" w:tplc="0409001B" w:tentative="1">
      <w:start w:val="1"/>
      <w:numFmt w:val="lowerRoman"/>
      <w:lvlText w:val="%9."/>
      <w:lvlJc w:val="right"/>
      <w:pPr>
        <w:ind w:left="6282" w:hanging="180"/>
      </w:pPr>
    </w:lvl>
  </w:abstractNum>
  <w:abstractNum w:abstractNumId="3">
    <w:nsid w:val="034C2EEE"/>
    <w:multiLevelType w:val="hybridMultilevel"/>
    <w:tmpl w:val="57385F4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0DD4261B"/>
    <w:multiLevelType w:val="hybridMultilevel"/>
    <w:tmpl w:val="A6F46578"/>
    <w:lvl w:ilvl="0" w:tplc="337442A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771671"/>
    <w:multiLevelType w:val="hybridMultilevel"/>
    <w:tmpl w:val="3D58C2D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1F5839CF"/>
    <w:multiLevelType w:val="hybridMultilevel"/>
    <w:tmpl w:val="10DAC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9DB480B"/>
    <w:multiLevelType w:val="hybridMultilevel"/>
    <w:tmpl w:val="FDB6E6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470C54AF"/>
    <w:multiLevelType w:val="hybridMultilevel"/>
    <w:tmpl w:val="FD74DD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55364B3D"/>
    <w:multiLevelType w:val="hybridMultilevel"/>
    <w:tmpl w:val="732CC9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57B170EA"/>
    <w:multiLevelType w:val="hybridMultilevel"/>
    <w:tmpl w:val="29867B9C"/>
    <w:lvl w:ilvl="0" w:tplc="F29C0F1E">
      <w:start w:val="1"/>
      <w:numFmt w:val="decimal"/>
      <w:lvlText w:val="(%1)"/>
      <w:lvlJc w:val="left"/>
      <w:pPr>
        <w:ind w:left="162" w:hanging="360"/>
      </w:pPr>
      <w:rPr>
        <w:rFonts w:hint="default"/>
        <w:b/>
      </w:rPr>
    </w:lvl>
    <w:lvl w:ilvl="1" w:tplc="6C463198">
      <w:numFmt w:val="bullet"/>
      <w:lvlText w:val="•"/>
      <w:lvlJc w:val="left"/>
      <w:pPr>
        <w:ind w:left="1587" w:hanging="705"/>
      </w:pPr>
      <w:rPr>
        <w:rFonts w:ascii="Calibri" w:eastAsia="MS Mincho" w:hAnsi="Calibri" w:cs="Times New Roman" w:hint="default"/>
      </w:rPr>
    </w:lvl>
    <w:lvl w:ilvl="2" w:tplc="0409001B" w:tentative="1">
      <w:start w:val="1"/>
      <w:numFmt w:val="lowerRoman"/>
      <w:lvlText w:val="%3."/>
      <w:lvlJc w:val="right"/>
      <w:pPr>
        <w:ind w:left="1962" w:hanging="180"/>
      </w:pPr>
    </w:lvl>
    <w:lvl w:ilvl="3" w:tplc="0409000F" w:tentative="1">
      <w:start w:val="1"/>
      <w:numFmt w:val="decimal"/>
      <w:lvlText w:val="%4."/>
      <w:lvlJc w:val="left"/>
      <w:pPr>
        <w:ind w:left="2682" w:hanging="360"/>
      </w:pPr>
    </w:lvl>
    <w:lvl w:ilvl="4" w:tplc="04090019" w:tentative="1">
      <w:start w:val="1"/>
      <w:numFmt w:val="lowerLetter"/>
      <w:lvlText w:val="%5."/>
      <w:lvlJc w:val="left"/>
      <w:pPr>
        <w:ind w:left="3402" w:hanging="360"/>
      </w:pPr>
    </w:lvl>
    <w:lvl w:ilvl="5" w:tplc="0409001B" w:tentative="1">
      <w:start w:val="1"/>
      <w:numFmt w:val="lowerRoman"/>
      <w:lvlText w:val="%6."/>
      <w:lvlJc w:val="right"/>
      <w:pPr>
        <w:ind w:left="4122" w:hanging="180"/>
      </w:pPr>
    </w:lvl>
    <w:lvl w:ilvl="6" w:tplc="0409000F" w:tentative="1">
      <w:start w:val="1"/>
      <w:numFmt w:val="decimal"/>
      <w:lvlText w:val="%7."/>
      <w:lvlJc w:val="left"/>
      <w:pPr>
        <w:ind w:left="4842" w:hanging="360"/>
      </w:pPr>
    </w:lvl>
    <w:lvl w:ilvl="7" w:tplc="04090019" w:tentative="1">
      <w:start w:val="1"/>
      <w:numFmt w:val="lowerLetter"/>
      <w:lvlText w:val="%8."/>
      <w:lvlJc w:val="left"/>
      <w:pPr>
        <w:ind w:left="5562" w:hanging="360"/>
      </w:pPr>
    </w:lvl>
    <w:lvl w:ilvl="8" w:tplc="0409001B" w:tentative="1">
      <w:start w:val="1"/>
      <w:numFmt w:val="lowerRoman"/>
      <w:lvlText w:val="%9."/>
      <w:lvlJc w:val="right"/>
      <w:pPr>
        <w:ind w:left="6282" w:hanging="180"/>
      </w:pPr>
    </w:lvl>
  </w:abstractNum>
  <w:abstractNum w:abstractNumId="11">
    <w:nsid w:val="57DB2A0E"/>
    <w:multiLevelType w:val="hybridMultilevel"/>
    <w:tmpl w:val="3796D86E"/>
    <w:name w:val="WW8Num622"/>
    <w:lvl w:ilvl="0" w:tplc="86FABC1C">
      <w:start w:val="1"/>
      <w:numFmt w:val="bullet"/>
      <w:lvlText w:val=""/>
      <w:lvlJc w:val="left"/>
      <w:pPr>
        <w:ind w:left="720" w:hanging="360"/>
      </w:pPr>
      <w:rPr>
        <w:rFonts w:ascii="Wingdings" w:hAnsi="Wingdings" w:hint="default"/>
        <w:color w:val="1B1639"/>
        <w:u w:color="FFFFFF"/>
      </w:rPr>
    </w:lvl>
    <w:lvl w:ilvl="1" w:tplc="785280A0">
      <w:numFmt w:val="bullet"/>
      <w:lvlText w:val="-"/>
      <w:lvlJc w:val="left"/>
      <w:pPr>
        <w:ind w:left="1440" w:hanging="360"/>
      </w:pPr>
      <w:rPr>
        <w:rFonts w:ascii="Calibri" w:eastAsia="MS Mincho" w:hAnsi="Calibri" w:cs="Calibri"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5E8D122F"/>
    <w:multiLevelType w:val="hybridMultilevel"/>
    <w:tmpl w:val="835C04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5EA35075"/>
    <w:multiLevelType w:val="hybridMultilevel"/>
    <w:tmpl w:val="C4C4158E"/>
    <w:name w:val="WW8Num72"/>
    <w:lvl w:ilvl="0" w:tplc="04050003">
      <w:start w:val="1"/>
      <w:numFmt w:val="bullet"/>
      <w:lvlText w:val="o"/>
      <w:lvlJc w:val="left"/>
      <w:pPr>
        <w:tabs>
          <w:tab w:val="num" w:pos="1440"/>
        </w:tabs>
        <w:ind w:left="1440" w:hanging="360"/>
      </w:pPr>
      <w:rPr>
        <w:rFonts w:ascii="Courier New" w:hAnsi="Courier New" w:cs="Courier New" w:hint="default"/>
      </w:rPr>
    </w:lvl>
    <w:lvl w:ilvl="1" w:tplc="04050003" w:tentative="1">
      <w:start w:val="1"/>
      <w:numFmt w:val="bullet"/>
      <w:lvlText w:val="o"/>
      <w:lvlJc w:val="left"/>
      <w:pPr>
        <w:tabs>
          <w:tab w:val="num" w:pos="2160"/>
        </w:tabs>
        <w:ind w:left="2160" w:hanging="360"/>
      </w:pPr>
      <w:rPr>
        <w:rFonts w:ascii="Courier New" w:hAnsi="Courier New" w:cs="Courier New" w:hint="default"/>
      </w:rPr>
    </w:lvl>
    <w:lvl w:ilvl="2" w:tplc="04050005" w:tentative="1">
      <w:start w:val="1"/>
      <w:numFmt w:val="bullet"/>
      <w:lvlText w:val=""/>
      <w:lvlJc w:val="left"/>
      <w:pPr>
        <w:tabs>
          <w:tab w:val="num" w:pos="2880"/>
        </w:tabs>
        <w:ind w:left="2880" w:hanging="360"/>
      </w:pPr>
      <w:rPr>
        <w:rFonts w:ascii="Wingdings" w:hAnsi="Wingdings" w:hint="default"/>
      </w:rPr>
    </w:lvl>
    <w:lvl w:ilvl="3" w:tplc="04050001" w:tentative="1">
      <w:start w:val="1"/>
      <w:numFmt w:val="bullet"/>
      <w:lvlText w:val=""/>
      <w:lvlJc w:val="left"/>
      <w:pPr>
        <w:tabs>
          <w:tab w:val="num" w:pos="3600"/>
        </w:tabs>
        <w:ind w:left="3600" w:hanging="360"/>
      </w:pPr>
      <w:rPr>
        <w:rFonts w:ascii="Symbol" w:hAnsi="Symbol" w:hint="default"/>
      </w:rPr>
    </w:lvl>
    <w:lvl w:ilvl="4" w:tplc="04050003" w:tentative="1">
      <w:start w:val="1"/>
      <w:numFmt w:val="bullet"/>
      <w:lvlText w:val="o"/>
      <w:lvlJc w:val="left"/>
      <w:pPr>
        <w:tabs>
          <w:tab w:val="num" w:pos="4320"/>
        </w:tabs>
        <w:ind w:left="4320" w:hanging="360"/>
      </w:pPr>
      <w:rPr>
        <w:rFonts w:ascii="Courier New" w:hAnsi="Courier New" w:cs="Courier New" w:hint="default"/>
      </w:rPr>
    </w:lvl>
    <w:lvl w:ilvl="5" w:tplc="04050005" w:tentative="1">
      <w:start w:val="1"/>
      <w:numFmt w:val="bullet"/>
      <w:lvlText w:val=""/>
      <w:lvlJc w:val="left"/>
      <w:pPr>
        <w:tabs>
          <w:tab w:val="num" w:pos="5040"/>
        </w:tabs>
        <w:ind w:left="5040" w:hanging="360"/>
      </w:pPr>
      <w:rPr>
        <w:rFonts w:ascii="Wingdings" w:hAnsi="Wingdings" w:hint="default"/>
      </w:rPr>
    </w:lvl>
    <w:lvl w:ilvl="6" w:tplc="04050001" w:tentative="1">
      <w:start w:val="1"/>
      <w:numFmt w:val="bullet"/>
      <w:lvlText w:val=""/>
      <w:lvlJc w:val="left"/>
      <w:pPr>
        <w:tabs>
          <w:tab w:val="num" w:pos="5760"/>
        </w:tabs>
        <w:ind w:left="5760" w:hanging="360"/>
      </w:pPr>
      <w:rPr>
        <w:rFonts w:ascii="Symbol" w:hAnsi="Symbol" w:hint="default"/>
      </w:rPr>
    </w:lvl>
    <w:lvl w:ilvl="7" w:tplc="04050003" w:tentative="1">
      <w:start w:val="1"/>
      <w:numFmt w:val="bullet"/>
      <w:lvlText w:val="o"/>
      <w:lvlJc w:val="left"/>
      <w:pPr>
        <w:tabs>
          <w:tab w:val="num" w:pos="6480"/>
        </w:tabs>
        <w:ind w:left="6480" w:hanging="360"/>
      </w:pPr>
      <w:rPr>
        <w:rFonts w:ascii="Courier New" w:hAnsi="Courier New" w:cs="Courier New" w:hint="default"/>
      </w:rPr>
    </w:lvl>
    <w:lvl w:ilvl="8" w:tplc="04050005" w:tentative="1">
      <w:start w:val="1"/>
      <w:numFmt w:val="bullet"/>
      <w:lvlText w:val=""/>
      <w:lvlJc w:val="left"/>
      <w:pPr>
        <w:tabs>
          <w:tab w:val="num" w:pos="7200"/>
        </w:tabs>
        <w:ind w:left="7200" w:hanging="360"/>
      </w:pPr>
      <w:rPr>
        <w:rFonts w:ascii="Wingdings" w:hAnsi="Wingdings" w:hint="default"/>
      </w:rPr>
    </w:lvl>
  </w:abstractNum>
  <w:abstractNum w:abstractNumId="14">
    <w:nsid w:val="6511133F"/>
    <w:multiLevelType w:val="hybridMultilevel"/>
    <w:tmpl w:val="29C83B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7FC6226A"/>
    <w:multiLevelType w:val="hybridMultilevel"/>
    <w:tmpl w:val="FBD4A1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6"/>
  </w:num>
  <w:num w:numId="4">
    <w:abstractNumId w:val="5"/>
  </w:num>
  <w:num w:numId="5">
    <w:abstractNumId w:val="15"/>
  </w:num>
  <w:num w:numId="6">
    <w:abstractNumId w:val="7"/>
  </w:num>
  <w:num w:numId="7">
    <w:abstractNumId w:val="3"/>
  </w:num>
  <w:num w:numId="8">
    <w:abstractNumId w:val="9"/>
  </w:num>
  <w:num w:numId="9">
    <w:abstractNumId w:val="8"/>
  </w:num>
  <w:num w:numId="10">
    <w:abstractNumId w:val="10"/>
  </w:num>
  <w:num w:numId="11">
    <w:abstractNumId w:val="14"/>
  </w:num>
  <w:num w:numId="12">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08"/>
  <w:hyphenationZone w:val="425"/>
  <w:drawingGridHorizontalSpacing w:val="112"/>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
  <w:rsids>
    <w:rsidRoot w:val="00AF1713"/>
    <w:rsid w:val="00000019"/>
    <w:rsid w:val="00000172"/>
    <w:rsid w:val="00000DD5"/>
    <w:rsid w:val="00001424"/>
    <w:rsid w:val="00001931"/>
    <w:rsid w:val="00001D95"/>
    <w:rsid w:val="00002AA9"/>
    <w:rsid w:val="00002B14"/>
    <w:rsid w:val="00002E1A"/>
    <w:rsid w:val="00003460"/>
    <w:rsid w:val="00006C17"/>
    <w:rsid w:val="00007CE1"/>
    <w:rsid w:val="00007F42"/>
    <w:rsid w:val="00011324"/>
    <w:rsid w:val="00011E79"/>
    <w:rsid w:val="00012683"/>
    <w:rsid w:val="00013B2F"/>
    <w:rsid w:val="0001406E"/>
    <w:rsid w:val="000147D4"/>
    <w:rsid w:val="00014C60"/>
    <w:rsid w:val="00014CBD"/>
    <w:rsid w:val="00015B2D"/>
    <w:rsid w:val="00015F00"/>
    <w:rsid w:val="0001650C"/>
    <w:rsid w:val="00020988"/>
    <w:rsid w:val="00020B3F"/>
    <w:rsid w:val="00021634"/>
    <w:rsid w:val="0002252C"/>
    <w:rsid w:val="00023566"/>
    <w:rsid w:val="00023606"/>
    <w:rsid w:val="00025818"/>
    <w:rsid w:val="00025821"/>
    <w:rsid w:val="00025D51"/>
    <w:rsid w:val="00027A16"/>
    <w:rsid w:val="000305BD"/>
    <w:rsid w:val="000311EF"/>
    <w:rsid w:val="00032423"/>
    <w:rsid w:val="0003274D"/>
    <w:rsid w:val="00033B05"/>
    <w:rsid w:val="00034171"/>
    <w:rsid w:val="00034377"/>
    <w:rsid w:val="00034C3D"/>
    <w:rsid w:val="00034CF2"/>
    <w:rsid w:val="00034EEF"/>
    <w:rsid w:val="00035AA9"/>
    <w:rsid w:val="0003663B"/>
    <w:rsid w:val="00036C4D"/>
    <w:rsid w:val="0003766B"/>
    <w:rsid w:val="00037C55"/>
    <w:rsid w:val="0004063E"/>
    <w:rsid w:val="00040F88"/>
    <w:rsid w:val="000412C2"/>
    <w:rsid w:val="00041442"/>
    <w:rsid w:val="00043D7C"/>
    <w:rsid w:val="0004406E"/>
    <w:rsid w:val="00044215"/>
    <w:rsid w:val="00044F4A"/>
    <w:rsid w:val="00044F90"/>
    <w:rsid w:val="000454BB"/>
    <w:rsid w:val="00045780"/>
    <w:rsid w:val="000464F4"/>
    <w:rsid w:val="000473AF"/>
    <w:rsid w:val="000477F2"/>
    <w:rsid w:val="00050999"/>
    <w:rsid w:val="000511BA"/>
    <w:rsid w:val="000516A1"/>
    <w:rsid w:val="00053B45"/>
    <w:rsid w:val="00054586"/>
    <w:rsid w:val="00054A7F"/>
    <w:rsid w:val="00054AAA"/>
    <w:rsid w:val="00054FCF"/>
    <w:rsid w:val="00055011"/>
    <w:rsid w:val="000550BC"/>
    <w:rsid w:val="00055C12"/>
    <w:rsid w:val="00057817"/>
    <w:rsid w:val="00060BC1"/>
    <w:rsid w:val="00061479"/>
    <w:rsid w:val="00062218"/>
    <w:rsid w:val="00063698"/>
    <w:rsid w:val="00063E2D"/>
    <w:rsid w:val="00065101"/>
    <w:rsid w:val="00065A18"/>
    <w:rsid w:val="00066312"/>
    <w:rsid w:val="0006651D"/>
    <w:rsid w:val="0006666E"/>
    <w:rsid w:val="00070753"/>
    <w:rsid w:val="00070946"/>
    <w:rsid w:val="00070C79"/>
    <w:rsid w:val="00071330"/>
    <w:rsid w:val="00072923"/>
    <w:rsid w:val="00073104"/>
    <w:rsid w:val="00075784"/>
    <w:rsid w:val="00075C96"/>
    <w:rsid w:val="000763EE"/>
    <w:rsid w:val="0007640B"/>
    <w:rsid w:val="000817F9"/>
    <w:rsid w:val="00081A9B"/>
    <w:rsid w:val="00081D6F"/>
    <w:rsid w:val="00082A79"/>
    <w:rsid w:val="000831DC"/>
    <w:rsid w:val="00083432"/>
    <w:rsid w:val="0008590C"/>
    <w:rsid w:val="000859EF"/>
    <w:rsid w:val="00085C53"/>
    <w:rsid w:val="000860C2"/>
    <w:rsid w:val="00087641"/>
    <w:rsid w:val="0008776F"/>
    <w:rsid w:val="00090324"/>
    <w:rsid w:val="00091535"/>
    <w:rsid w:val="00091A61"/>
    <w:rsid w:val="00091B12"/>
    <w:rsid w:val="00092870"/>
    <w:rsid w:val="00093024"/>
    <w:rsid w:val="000931D6"/>
    <w:rsid w:val="00093925"/>
    <w:rsid w:val="00093D31"/>
    <w:rsid w:val="00093EAD"/>
    <w:rsid w:val="00093F70"/>
    <w:rsid w:val="0009417A"/>
    <w:rsid w:val="00094C58"/>
    <w:rsid w:val="0009652D"/>
    <w:rsid w:val="00097113"/>
    <w:rsid w:val="00097BF8"/>
    <w:rsid w:val="00097E60"/>
    <w:rsid w:val="000A0F69"/>
    <w:rsid w:val="000A13EC"/>
    <w:rsid w:val="000A2B98"/>
    <w:rsid w:val="000A315F"/>
    <w:rsid w:val="000A35C6"/>
    <w:rsid w:val="000A4932"/>
    <w:rsid w:val="000A4A14"/>
    <w:rsid w:val="000A4A78"/>
    <w:rsid w:val="000A55F7"/>
    <w:rsid w:val="000A6309"/>
    <w:rsid w:val="000A6314"/>
    <w:rsid w:val="000A7708"/>
    <w:rsid w:val="000B019B"/>
    <w:rsid w:val="000B0C20"/>
    <w:rsid w:val="000B21DF"/>
    <w:rsid w:val="000B2939"/>
    <w:rsid w:val="000B3874"/>
    <w:rsid w:val="000B43A1"/>
    <w:rsid w:val="000B474D"/>
    <w:rsid w:val="000B48D8"/>
    <w:rsid w:val="000B5269"/>
    <w:rsid w:val="000B5A96"/>
    <w:rsid w:val="000B6A57"/>
    <w:rsid w:val="000B7CC5"/>
    <w:rsid w:val="000C0650"/>
    <w:rsid w:val="000C1823"/>
    <w:rsid w:val="000C1DFB"/>
    <w:rsid w:val="000C24E9"/>
    <w:rsid w:val="000C2A2D"/>
    <w:rsid w:val="000C2D7F"/>
    <w:rsid w:val="000C2F7A"/>
    <w:rsid w:val="000C3FFA"/>
    <w:rsid w:val="000C48C4"/>
    <w:rsid w:val="000C4E07"/>
    <w:rsid w:val="000C53E3"/>
    <w:rsid w:val="000C6428"/>
    <w:rsid w:val="000C7F4B"/>
    <w:rsid w:val="000D01D1"/>
    <w:rsid w:val="000D047A"/>
    <w:rsid w:val="000D1BFB"/>
    <w:rsid w:val="000D2D33"/>
    <w:rsid w:val="000D2EF6"/>
    <w:rsid w:val="000D2F43"/>
    <w:rsid w:val="000D3413"/>
    <w:rsid w:val="000D477D"/>
    <w:rsid w:val="000D5299"/>
    <w:rsid w:val="000D6C8E"/>
    <w:rsid w:val="000E0158"/>
    <w:rsid w:val="000E171B"/>
    <w:rsid w:val="000E2665"/>
    <w:rsid w:val="000E2967"/>
    <w:rsid w:val="000E2A86"/>
    <w:rsid w:val="000E436A"/>
    <w:rsid w:val="000E529A"/>
    <w:rsid w:val="000E5F22"/>
    <w:rsid w:val="000F0083"/>
    <w:rsid w:val="000F012F"/>
    <w:rsid w:val="000F15BF"/>
    <w:rsid w:val="000F1694"/>
    <w:rsid w:val="000F1F6D"/>
    <w:rsid w:val="000F234F"/>
    <w:rsid w:val="000F24F7"/>
    <w:rsid w:val="000F3162"/>
    <w:rsid w:val="000F3BC9"/>
    <w:rsid w:val="000F3F76"/>
    <w:rsid w:val="000F518A"/>
    <w:rsid w:val="000F51CF"/>
    <w:rsid w:val="00101AD1"/>
    <w:rsid w:val="001040CE"/>
    <w:rsid w:val="001041F1"/>
    <w:rsid w:val="001042BD"/>
    <w:rsid w:val="0010507A"/>
    <w:rsid w:val="00105745"/>
    <w:rsid w:val="001069BF"/>
    <w:rsid w:val="00106F7F"/>
    <w:rsid w:val="0010795E"/>
    <w:rsid w:val="00111471"/>
    <w:rsid w:val="00113B10"/>
    <w:rsid w:val="00114A15"/>
    <w:rsid w:val="00115899"/>
    <w:rsid w:val="0011610C"/>
    <w:rsid w:val="0011661E"/>
    <w:rsid w:val="00116F4C"/>
    <w:rsid w:val="001173C3"/>
    <w:rsid w:val="00121EB9"/>
    <w:rsid w:val="00122565"/>
    <w:rsid w:val="00122CA4"/>
    <w:rsid w:val="001232B1"/>
    <w:rsid w:val="00123C23"/>
    <w:rsid w:val="00124273"/>
    <w:rsid w:val="0012474D"/>
    <w:rsid w:val="00125160"/>
    <w:rsid w:val="00125649"/>
    <w:rsid w:val="0012679C"/>
    <w:rsid w:val="001267C0"/>
    <w:rsid w:val="00126CCE"/>
    <w:rsid w:val="00127484"/>
    <w:rsid w:val="00130632"/>
    <w:rsid w:val="001318AD"/>
    <w:rsid w:val="00131DBA"/>
    <w:rsid w:val="00131E75"/>
    <w:rsid w:val="00133313"/>
    <w:rsid w:val="0013513A"/>
    <w:rsid w:val="00135675"/>
    <w:rsid w:val="00136511"/>
    <w:rsid w:val="00136CE5"/>
    <w:rsid w:val="0013713D"/>
    <w:rsid w:val="00137E67"/>
    <w:rsid w:val="00140462"/>
    <w:rsid w:val="00141BAC"/>
    <w:rsid w:val="00141D6B"/>
    <w:rsid w:val="0014236D"/>
    <w:rsid w:val="00142763"/>
    <w:rsid w:val="001429F2"/>
    <w:rsid w:val="00142A45"/>
    <w:rsid w:val="00142A57"/>
    <w:rsid w:val="00145128"/>
    <w:rsid w:val="00145D8A"/>
    <w:rsid w:val="00147CE9"/>
    <w:rsid w:val="00147F36"/>
    <w:rsid w:val="00150C03"/>
    <w:rsid w:val="00151447"/>
    <w:rsid w:val="001521CE"/>
    <w:rsid w:val="00153DE9"/>
    <w:rsid w:val="00153E54"/>
    <w:rsid w:val="0015418E"/>
    <w:rsid w:val="001549AE"/>
    <w:rsid w:val="00154C40"/>
    <w:rsid w:val="001550CD"/>
    <w:rsid w:val="00155411"/>
    <w:rsid w:val="00155DC6"/>
    <w:rsid w:val="00156F90"/>
    <w:rsid w:val="00157244"/>
    <w:rsid w:val="001573B1"/>
    <w:rsid w:val="00157B23"/>
    <w:rsid w:val="00161045"/>
    <w:rsid w:val="00161AC4"/>
    <w:rsid w:val="0016200A"/>
    <w:rsid w:val="0016234A"/>
    <w:rsid w:val="001625A9"/>
    <w:rsid w:val="00163A59"/>
    <w:rsid w:val="00163B11"/>
    <w:rsid w:val="0016454F"/>
    <w:rsid w:val="00165C39"/>
    <w:rsid w:val="00166849"/>
    <w:rsid w:val="00166905"/>
    <w:rsid w:val="001673CB"/>
    <w:rsid w:val="00167825"/>
    <w:rsid w:val="00170531"/>
    <w:rsid w:val="00170678"/>
    <w:rsid w:val="00170D74"/>
    <w:rsid w:val="00171BF7"/>
    <w:rsid w:val="00171EE9"/>
    <w:rsid w:val="00173084"/>
    <w:rsid w:val="00174709"/>
    <w:rsid w:val="00174F67"/>
    <w:rsid w:val="00175BD2"/>
    <w:rsid w:val="00176597"/>
    <w:rsid w:val="00176B52"/>
    <w:rsid w:val="00177030"/>
    <w:rsid w:val="00180317"/>
    <w:rsid w:val="001809F4"/>
    <w:rsid w:val="00181679"/>
    <w:rsid w:val="00181DED"/>
    <w:rsid w:val="00182F4D"/>
    <w:rsid w:val="001915C6"/>
    <w:rsid w:val="001919E8"/>
    <w:rsid w:val="001943E9"/>
    <w:rsid w:val="0019661C"/>
    <w:rsid w:val="001A13BE"/>
    <w:rsid w:val="001A1563"/>
    <w:rsid w:val="001A2243"/>
    <w:rsid w:val="001A2C89"/>
    <w:rsid w:val="001A4149"/>
    <w:rsid w:val="001A47CA"/>
    <w:rsid w:val="001A4B0C"/>
    <w:rsid w:val="001B0117"/>
    <w:rsid w:val="001B0ADB"/>
    <w:rsid w:val="001B1179"/>
    <w:rsid w:val="001B1825"/>
    <w:rsid w:val="001B2583"/>
    <w:rsid w:val="001B265F"/>
    <w:rsid w:val="001B340A"/>
    <w:rsid w:val="001B3CEE"/>
    <w:rsid w:val="001B4599"/>
    <w:rsid w:val="001B4EFC"/>
    <w:rsid w:val="001B6D23"/>
    <w:rsid w:val="001C4D17"/>
    <w:rsid w:val="001C4D71"/>
    <w:rsid w:val="001C5503"/>
    <w:rsid w:val="001C6057"/>
    <w:rsid w:val="001D0CCE"/>
    <w:rsid w:val="001D12DC"/>
    <w:rsid w:val="001D1F64"/>
    <w:rsid w:val="001D2609"/>
    <w:rsid w:val="001D48AF"/>
    <w:rsid w:val="001D4D08"/>
    <w:rsid w:val="001D5F71"/>
    <w:rsid w:val="001E05AD"/>
    <w:rsid w:val="001E1D02"/>
    <w:rsid w:val="001E2FF5"/>
    <w:rsid w:val="001E3876"/>
    <w:rsid w:val="001E45EE"/>
    <w:rsid w:val="001E4D17"/>
    <w:rsid w:val="001E6238"/>
    <w:rsid w:val="001E7401"/>
    <w:rsid w:val="001F07E1"/>
    <w:rsid w:val="001F0A4D"/>
    <w:rsid w:val="001F169A"/>
    <w:rsid w:val="001F22C1"/>
    <w:rsid w:val="001F39C5"/>
    <w:rsid w:val="001F40F6"/>
    <w:rsid w:val="001F472A"/>
    <w:rsid w:val="001F47FA"/>
    <w:rsid w:val="001F4B7F"/>
    <w:rsid w:val="001F4DDB"/>
    <w:rsid w:val="001F5AF0"/>
    <w:rsid w:val="001F69DD"/>
    <w:rsid w:val="001F6DB5"/>
    <w:rsid w:val="00201EBD"/>
    <w:rsid w:val="002025EC"/>
    <w:rsid w:val="002028A6"/>
    <w:rsid w:val="0020315C"/>
    <w:rsid w:val="00203B1E"/>
    <w:rsid w:val="0020433B"/>
    <w:rsid w:val="0020546B"/>
    <w:rsid w:val="00205C02"/>
    <w:rsid w:val="00206B17"/>
    <w:rsid w:val="00207128"/>
    <w:rsid w:val="002071E5"/>
    <w:rsid w:val="00207220"/>
    <w:rsid w:val="002102BF"/>
    <w:rsid w:val="0021041E"/>
    <w:rsid w:val="00210EFA"/>
    <w:rsid w:val="00210F2A"/>
    <w:rsid w:val="002111B1"/>
    <w:rsid w:val="0021195E"/>
    <w:rsid w:val="002122AC"/>
    <w:rsid w:val="00212850"/>
    <w:rsid w:val="0021289C"/>
    <w:rsid w:val="0021376E"/>
    <w:rsid w:val="0021394A"/>
    <w:rsid w:val="00213E10"/>
    <w:rsid w:val="002144CF"/>
    <w:rsid w:val="002150DB"/>
    <w:rsid w:val="002159B4"/>
    <w:rsid w:val="00215C88"/>
    <w:rsid w:val="00216192"/>
    <w:rsid w:val="00216FD7"/>
    <w:rsid w:val="00220121"/>
    <w:rsid w:val="00220A16"/>
    <w:rsid w:val="0022129F"/>
    <w:rsid w:val="00221309"/>
    <w:rsid w:val="0022274C"/>
    <w:rsid w:val="00222A22"/>
    <w:rsid w:val="00222F60"/>
    <w:rsid w:val="002231BC"/>
    <w:rsid w:val="0022401B"/>
    <w:rsid w:val="002248D0"/>
    <w:rsid w:val="00225172"/>
    <w:rsid w:val="0022667B"/>
    <w:rsid w:val="002273DD"/>
    <w:rsid w:val="00227CBA"/>
    <w:rsid w:val="00230E36"/>
    <w:rsid w:val="00230E8F"/>
    <w:rsid w:val="00231AAC"/>
    <w:rsid w:val="00231DA4"/>
    <w:rsid w:val="00231FD0"/>
    <w:rsid w:val="00232FC2"/>
    <w:rsid w:val="002330AE"/>
    <w:rsid w:val="0023333C"/>
    <w:rsid w:val="002340D3"/>
    <w:rsid w:val="0023467C"/>
    <w:rsid w:val="0023562B"/>
    <w:rsid w:val="00235726"/>
    <w:rsid w:val="0024015F"/>
    <w:rsid w:val="00240AB0"/>
    <w:rsid w:val="00240FEA"/>
    <w:rsid w:val="00241261"/>
    <w:rsid w:val="00244590"/>
    <w:rsid w:val="00244EEB"/>
    <w:rsid w:val="00246522"/>
    <w:rsid w:val="00247C47"/>
    <w:rsid w:val="00247FE9"/>
    <w:rsid w:val="00250266"/>
    <w:rsid w:val="002503FE"/>
    <w:rsid w:val="00250C5A"/>
    <w:rsid w:val="00250DC8"/>
    <w:rsid w:val="002514BD"/>
    <w:rsid w:val="00252831"/>
    <w:rsid w:val="002531C2"/>
    <w:rsid w:val="00253C6B"/>
    <w:rsid w:val="00253C78"/>
    <w:rsid w:val="00255FE9"/>
    <w:rsid w:val="002565F5"/>
    <w:rsid w:val="0025673A"/>
    <w:rsid w:val="00256C43"/>
    <w:rsid w:val="00256D7A"/>
    <w:rsid w:val="0025705A"/>
    <w:rsid w:val="00260853"/>
    <w:rsid w:val="00260D37"/>
    <w:rsid w:val="00260ED2"/>
    <w:rsid w:val="00261391"/>
    <w:rsid w:val="00262D02"/>
    <w:rsid w:val="00262D16"/>
    <w:rsid w:val="002634CE"/>
    <w:rsid w:val="00263D23"/>
    <w:rsid w:val="00264540"/>
    <w:rsid w:val="0026463A"/>
    <w:rsid w:val="00264793"/>
    <w:rsid w:val="00264864"/>
    <w:rsid w:val="00270417"/>
    <w:rsid w:val="002709BA"/>
    <w:rsid w:val="00270B6F"/>
    <w:rsid w:val="002714E4"/>
    <w:rsid w:val="00271A8D"/>
    <w:rsid w:val="00271D73"/>
    <w:rsid w:val="0027236E"/>
    <w:rsid w:val="00272A7E"/>
    <w:rsid w:val="00272CC8"/>
    <w:rsid w:val="00273772"/>
    <w:rsid w:val="00273DBE"/>
    <w:rsid w:val="00273F36"/>
    <w:rsid w:val="00275B50"/>
    <w:rsid w:val="002771A6"/>
    <w:rsid w:val="0027760C"/>
    <w:rsid w:val="002804D1"/>
    <w:rsid w:val="00280FCB"/>
    <w:rsid w:val="00281528"/>
    <w:rsid w:val="00281FE4"/>
    <w:rsid w:val="00282DE9"/>
    <w:rsid w:val="00283AF8"/>
    <w:rsid w:val="00283FDD"/>
    <w:rsid w:val="002841A1"/>
    <w:rsid w:val="00286420"/>
    <w:rsid w:val="0028712F"/>
    <w:rsid w:val="00287C76"/>
    <w:rsid w:val="00287EAA"/>
    <w:rsid w:val="00290565"/>
    <w:rsid w:val="00290C91"/>
    <w:rsid w:val="00290FCE"/>
    <w:rsid w:val="00291536"/>
    <w:rsid w:val="00291F14"/>
    <w:rsid w:val="002921B4"/>
    <w:rsid w:val="00294F76"/>
    <w:rsid w:val="00295428"/>
    <w:rsid w:val="00296167"/>
    <w:rsid w:val="0029661F"/>
    <w:rsid w:val="00296639"/>
    <w:rsid w:val="00296941"/>
    <w:rsid w:val="00296B08"/>
    <w:rsid w:val="00296C9D"/>
    <w:rsid w:val="00297044"/>
    <w:rsid w:val="00297111"/>
    <w:rsid w:val="002975AA"/>
    <w:rsid w:val="00297C1F"/>
    <w:rsid w:val="002A10C8"/>
    <w:rsid w:val="002A1780"/>
    <w:rsid w:val="002A2393"/>
    <w:rsid w:val="002A3674"/>
    <w:rsid w:val="002A36D1"/>
    <w:rsid w:val="002A4991"/>
    <w:rsid w:val="002A6074"/>
    <w:rsid w:val="002A6B49"/>
    <w:rsid w:val="002A6E5F"/>
    <w:rsid w:val="002B0346"/>
    <w:rsid w:val="002B2117"/>
    <w:rsid w:val="002B2F82"/>
    <w:rsid w:val="002B4398"/>
    <w:rsid w:val="002B442E"/>
    <w:rsid w:val="002B4A1A"/>
    <w:rsid w:val="002B4B39"/>
    <w:rsid w:val="002B5355"/>
    <w:rsid w:val="002B7838"/>
    <w:rsid w:val="002B79AD"/>
    <w:rsid w:val="002C0A4D"/>
    <w:rsid w:val="002C142D"/>
    <w:rsid w:val="002C190A"/>
    <w:rsid w:val="002C2594"/>
    <w:rsid w:val="002C3E2F"/>
    <w:rsid w:val="002C4111"/>
    <w:rsid w:val="002C4229"/>
    <w:rsid w:val="002C4C4B"/>
    <w:rsid w:val="002C593B"/>
    <w:rsid w:val="002C64BF"/>
    <w:rsid w:val="002C6BF7"/>
    <w:rsid w:val="002C6FB8"/>
    <w:rsid w:val="002D1C50"/>
    <w:rsid w:val="002D1E78"/>
    <w:rsid w:val="002D2C66"/>
    <w:rsid w:val="002D3239"/>
    <w:rsid w:val="002D3262"/>
    <w:rsid w:val="002D3B53"/>
    <w:rsid w:val="002D472A"/>
    <w:rsid w:val="002D47C5"/>
    <w:rsid w:val="002D57E6"/>
    <w:rsid w:val="002D651B"/>
    <w:rsid w:val="002E127E"/>
    <w:rsid w:val="002E2BE0"/>
    <w:rsid w:val="002E2FD5"/>
    <w:rsid w:val="002E3660"/>
    <w:rsid w:val="002E43C8"/>
    <w:rsid w:val="002E5ABB"/>
    <w:rsid w:val="002E69DA"/>
    <w:rsid w:val="002E6EE1"/>
    <w:rsid w:val="002E70BC"/>
    <w:rsid w:val="002E7394"/>
    <w:rsid w:val="002E744F"/>
    <w:rsid w:val="002F0B70"/>
    <w:rsid w:val="002F0E37"/>
    <w:rsid w:val="002F1CE3"/>
    <w:rsid w:val="002F24D2"/>
    <w:rsid w:val="002F29E2"/>
    <w:rsid w:val="002F2EE0"/>
    <w:rsid w:val="002F35C6"/>
    <w:rsid w:val="002F3F3F"/>
    <w:rsid w:val="002F47D6"/>
    <w:rsid w:val="002F4B2D"/>
    <w:rsid w:val="002F590D"/>
    <w:rsid w:val="002F5E98"/>
    <w:rsid w:val="002F6336"/>
    <w:rsid w:val="002F6E02"/>
    <w:rsid w:val="0030042E"/>
    <w:rsid w:val="00300B10"/>
    <w:rsid w:val="00300D32"/>
    <w:rsid w:val="0030291D"/>
    <w:rsid w:val="00303BF0"/>
    <w:rsid w:val="003055BE"/>
    <w:rsid w:val="00305DA8"/>
    <w:rsid w:val="00306A69"/>
    <w:rsid w:val="00306EB9"/>
    <w:rsid w:val="00306FA1"/>
    <w:rsid w:val="00307E23"/>
    <w:rsid w:val="0031034F"/>
    <w:rsid w:val="00313CE9"/>
    <w:rsid w:val="0031489C"/>
    <w:rsid w:val="00315003"/>
    <w:rsid w:val="003168E9"/>
    <w:rsid w:val="003169EE"/>
    <w:rsid w:val="00316C1C"/>
    <w:rsid w:val="00316C65"/>
    <w:rsid w:val="00317699"/>
    <w:rsid w:val="00317759"/>
    <w:rsid w:val="0032065D"/>
    <w:rsid w:val="00320D9E"/>
    <w:rsid w:val="0032120C"/>
    <w:rsid w:val="003221EF"/>
    <w:rsid w:val="0032284D"/>
    <w:rsid w:val="00322F90"/>
    <w:rsid w:val="00325785"/>
    <w:rsid w:val="00325873"/>
    <w:rsid w:val="003266A2"/>
    <w:rsid w:val="00327057"/>
    <w:rsid w:val="003304F2"/>
    <w:rsid w:val="00330A36"/>
    <w:rsid w:val="00331875"/>
    <w:rsid w:val="00332D68"/>
    <w:rsid w:val="00333AA4"/>
    <w:rsid w:val="00334320"/>
    <w:rsid w:val="00334F01"/>
    <w:rsid w:val="0033517D"/>
    <w:rsid w:val="003358C0"/>
    <w:rsid w:val="003361B8"/>
    <w:rsid w:val="003377B5"/>
    <w:rsid w:val="00337C12"/>
    <w:rsid w:val="00337E0A"/>
    <w:rsid w:val="00340526"/>
    <w:rsid w:val="00340B91"/>
    <w:rsid w:val="00342126"/>
    <w:rsid w:val="00342768"/>
    <w:rsid w:val="003427E5"/>
    <w:rsid w:val="0034302C"/>
    <w:rsid w:val="00343EE3"/>
    <w:rsid w:val="003445E6"/>
    <w:rsid w:val="00344837"/>
    <w:rsid w:val="00344981"/>
    <w:rsid w:val="00344B05"/>
    <w:rsid w:val="00345FB2"/>
    <w:rsid w:val="003465ED"/>
    <w:rsid w:val="00346D88"/>
    <w:rsid w:val="00346EE0"/>
    <w:rsid w:val="00347E58"/>
    <w:rsid w:val="00350AC9"/>
    <w:rsid w:val="0035101A"/>
    <w:rsid w:val="00351AD0"/>
    <w:rsid w:val="0035225A"/>
    <w:rsid w:val="00352764"/>
    <w:rsid w:val="00352CEF"/>
    <w:rsid w:val="003541B0"/>
    <w:rsid w:val="00354C4D"/>
    <w:rsid w:val="003559EB"/>
    <w:rsid w:val="0035751C"/>
    <w:rsid w:val="00361110"/>
    <w:rsid w:val="00361440"/>
    <w:rsid w:val="00361F6D"/>
    <w:rsid w:val="003627D5"/>
    <w:rsid w:val="00363034"/>
    <w:rsid w:val="00363B33"/>
    <w:rsid w:val="00363BEE"/>
    <w:rsid w:val="00364EEB"/>
    <w:rsid w:val="0036657C"/>
    <w:rsid w:val="003665E1"/>
    <w:rsid w:val="00366F90"/>
    <w:rsid w:val="00370211"/>
    <w:rsid w:val="00371982"/>
    <w:rsid w:val="00371D16"/>
    <w:rsid w:val="00372B76"/>
    <w:rsid w:val="00374319"/>
    <w:rsid w:val="003743FF"/>
    <w:rsid w:val="0037446B"/>
    <w:rsid w:val="00374601"/>
    <w:rsid w:val="00374FA0"/>
    <w:rsid w:val="003760B6"/>
    <w:rsid w:val="00377C21"/>
    <w:rsid w:val="00380408"/>
    <w:rsid w:val="003839A1"/>
    <w:rsid w:val="00383F64"/>
    <w:rsid w:val="0038660B"/>
    <w:rsid w:val="00386D55"/>
    <w:rsid w:val="00386DCC"/>
    <w:rsid w:val="00390621"/>
    <w:rsid w:val="003923B5"/>
    <w:rsid w:val="00393504"/>
    <w:rsid w:val="00395F20"/>
    <w:rsid w:val="0039653A"/>
    <w:rsid w:val="003971F9"/>
    <w:rsid w:val="003A00F8"/>
    <w:rsid w:val="003A0A12"/>
    <w:rsid w:val="003A1EC9"/>
    <w:rsid w:val="003A2601"/>
    <w:rsid w:val="003A2886"/>
    <w:rsid w:val="003A2F28"/>
    <w:rsid w:val="003A35BC"/>
    <w:rsid w:val="003A3BF5"/>
    <w:rsid w:val="003A5CE5"/>
    <w:rsid w:val="003A6AD3"/>
    <w:rsid w:val="003A6F83"/>
    <w:rsid w:val="003A70AD"/>
    <w:rsid w:val="003A74DC"/>
    <w:rsid w:val="003B00A9"/>
    <w:rsid w:val="003B1563"/>
    <w:rsid w:val="003B25AE"/>
    <w:rsid w:val="003B2649"/>
    <w:rsid w:val="003B2987"/>
    <w:rsid w:val="003B3A79"/>
    <w:rsid w:val="003B3E1D"/>
    <w:rsid w:val="003B3F00"/>
    <w:rsid w:val="003B4760"/>
    <w:rsid w:val="003B50F4"/>
    <w:rsid w:val="003B5721"/>
    <w:rsid w:val="003B6951"/>
    <w:rsid w:val="003B78DE"/>
    <w:rsid w:val="003B7C38"/>
    <w:rsid w:val="003B7E4B"/>
    <w:rsid w:val="003C0810"/>
    <w:rsid w:val="003C0B34"/>
    <w:rsid w:val="003C1D1F"/>
    <w:rsid w:val="003C2207"/>
    <w:rsid w:val="003C2CF7"/>
    <w:rsid w:val="003C3B0C"/>
    <w:rsid w:val="003C3B12"/>
    <w:rsid w:val="003C4ABE"/>
    <w:rsid w:val="003C564F"/>
    <w:rsid w:val="003C573A"/>
    <w:rsid w:val="003C5CCC"/>
    <w:rsid w:val="003C638F"/>
    <w:rsid w:val="003C6A73"/>
    <w:rsid w:val="003C6B07"/>
    <w:rsid w:val="003C72E2"/>
    <w:rsid w:val="003C7A66"/>
    <w:rsid w:val="003C7AAE"/>
    <w:rsid w:val="003C7CB6"/>
    <w:rsid w:val="003D0313"/>
    <w:rsid w:val="003D035A"/>
    <w:rsid w:val="003D15CD"/>
    <w:rsid w:val="003D1C58"/>
    <w:rsid w:val="003D3111"/>
    <w:rsid w:val="003D566A"/>
    <w:rsid w:val="003D5A7B"/>
    <w:rsid w:val="003D5E52"/>
    <w:rsid w:val="003D61FE"/>
    <w:rsid w:val="003D78A5"/>
    <w:rsid w:val="003D7F0A"/>
    <w:rsid w:val="003E24F8"/>
    <w:rsid w:val="003E2BA7"/>
    <w:rsid w:val="003E2BBC"/>
    <w:rsid w:val="003E2E5F"/>
    <w:rsid w:val="003E2F83"/>
    <w:rsid w:val="003E3A29"/>
    <w:rsid w:val="003E3CCC"/>
    <w:rsid w:val="003E45E5"/>
    <w:rsid w:val="003E4A8A"/>
    <w:rsid w:val="003E4EE3"/>
    <w:rsid w:val="003E6184"/>
    <w:rsid w:val="003E6F39"/>
    <w:rsid w:val="003E7B26"/>
    <w:rsid w:val="003E7F5C"/>
    <w:rsid w:val="003F03C6"/>
    <w:rsid w:val="003F03F8"/>
    <w:rsid w:val="003F1984"/>
    <w:rsid w:val="003F20C0"/>
    <w:rsid w:val="003F22B8"/>
    <w:rsid w:val="003F2975"/>
    <w:rsid w:val="003F2CA1"/>
    <w:rsid w:val="003F343A"/>
    <w:rsid w:val="003F34DD"/>
    <w:rsid w:val="003F3D02"/>
    <w:rsid w:val="003F4C92"/>
    <w:rsid w:val="003F5F17"/>
    <w:rsid w:val="003F6246"/>
    <w:rsid w:val="003F78EC"/>
    <w:rsid w:val="004020D9"/>
    <w:rsid w:val="004039E4"/>
    <w:rsid w:val="00405297"/>
    <w:rsid w:val="00405A9E"/>
    <w:rsid w:val="00405ABC"/>
    <w:rsid w:val="00406306"/>
    <w:rsid w:val="00406A60"/>
    <w:rsid w:val="00406C09"/>
    <w:rsid w:val="0040779F"/>
    <w:rsid w:val="00407BB8"/>
    <w:rsid w:val="00410990"/>
    <w:rsid w:val="00411492"/>
    <w:rsid w:val="0041159B"/>
    <w:rsid w:val="00412A8B"/>
    <w:rsid w:val="004139D6"/>
    <w:rsid w:val="00413F52"/>
    <w:rsid w:val="00414261"/>
    <w:rsid w:val="0041445F"/>
    <w:rsid w:val="00414B92"/>
    <w:rsid w:val="00415327"/>
    <w:rsid w:val="00415A2A"/>
    <w:rsid w:val="004166EC"/>
    <w:rsid w:val="00416BA6"/>
    <w:rsid w:val="00420BD2"/>
    <w:rsid w:val="00420CF7"/>
    <w:rsid w:val="00421C3B"/>
    <w:rsid w:val="00421F7D"/>
    <w:rsid w:val="00422221"/>
    <w:rsid w:val="00422E3E"/>
    <w:rsid w:val="00424432"/>
    <w:rsid w:val="004268D2"/>
    <w:rsid w:val="00427372"/>
    <w:rsid w:val="00427539"/>
    <w:rsid w:val="0042772D"/>
    <w:rsid w:val="00427E16"/>
    <w:rsid w:val="0043023E"/>
    <w:rsid w:val="004307E4"/>
    <w:rsid w:val="004312E6"/>
    <w:rsid w:val="004318D7"/>
    <w:rsid w:val="00431E3B"/>
    <w:rsid w:val="00433225"/>
    <w:rsid w:val="00433236"/>
    <w:rsid w:val="00433D7D"/>
    <w:rsid w:val="004345CB"/>
    <w:rsid w:val="004361D4"/>
    <w:rsid w:val="0043653B"/>
    <w:rsid w:val="00437A97"/>
    <w:rsid w:val="00437CBC"/>
    <w:rsid w:val="00440AF5"/>
    <w:rsid w:val="0044103A"/>
    <w:rsid w:val="00441570"/>
    <w:rsid w:val="004416A2"/>
    <w:rsid w:val="00441A42"/>
    <w:rsid w:val="0044428E"/>
    <w:rsid w:val="00445857"/>
    <w:rsid w:val="00446434"/>
    <w:rsid w:val="0044724E"/>
    <w:rsid w:val="00447F62"/>
    <w:rsid w:val="00451A8C"/>
    <w:rsid w:val="00453328"/>
    <w:rsid w:val="00454F40"/>
    <w:rsid w:val="00455903"/>
    <w:rsid w:val="004566F3"/>
    <w:rsid w:val="00456D66"/>
    <w:rsid w:val="0045738D"/>
    <w:rsid w:val="004579DC"/>
    <w:rsid w:val="00460515"/>
    <w:rsid w:val="00461176"/>
    <w:rsid w:val="00461D04"/>
    <w:rsid w:val="00462308"/>
    <w:rsid w:val="004632F0"/>
    <w:rsid w:val="00463E22"/>
    <w:rsid w:val="004642AA"/>
    <w:rsid w:val="004644E0"/>
    <w:rsid w:val="004648C8"/>
    <w:rsid w:val="004650A4"/>
    <w:rsid w:val="004668D5"/>
    <w:rsid w:val="00466D32"/>
    <w:rsid w:val="00466E21"/>
    <w:rsid w:val="004670AC"/>
    <w:rsid w:val="004672A8"/>
    <w:rsid w:val="00471677"/>
    <w:rsid w:val="00472C88"/>
    <w:rsid w:val="00472EFC"/>
    <w:rsid w:val="0047320E"/>
    <w:rsid w:val="00473404"/>
    <w:rsid w:val="00473A88"/>
    <w:rsid w:val="00474C7E"/>
    <w:rsid w:val="00475F67"/>
    <w:rsid w:val="00475FA7"/>
    <w:rsid w:val="0047612E"/>
    <w:rsid w:val="004770AE"/>
    <w:rsid w:val="00477311"/>
    <w:rsid w:val="00477BFC"/>
    <w:rsid w:val="004807CE"/>
    <w:rsid w:val="00480C13"/>
    <w:rsid w:val="00482F9E"/>
    <w:rsid w:val="0048316A"/>
    <w:rsid w:val="00483BAF"/>
    <w:rsid w:val="00485427"/>
    <w:rsid w:val="00486C7B"/>
    <w:rsid w:val="0048733F"/>
    <w:rsid w:val="004913EA"/>
    <w:rsid w:val="00492625"/>
    <w:rsid w:val="004939B2"/>
    <w:rsid w:val="00493AC7"/>
    <w:rsid w:val="0049495C"/>
    <w:rsid w:val="00494E54"/>
    <w:rsid w:val="00496239"/>
    <w:rsid w:val="00497308"/>
    <w:rsid w:val="0049733B"/>
    <w:rsid w:val="00497586"/>
    <w:rsid w:val="00497BC6"/>
    <w:rsid w:val="004A11A8"/>
    <w:rsid w:val="004A1A35"/>
    <w:rsid w:val="004A24BD"/>
    <w:rsid w:val="004A39E1"/>
    <w:rsid w:val="004A3BDF"/>
    <w:rsid w:val="004A3DA0"/>
    <w:rsid w:val="004A4A42"/>
    <w:rsid w:val="004A4E4B"/>
    <w:rsid w:val="004A4FFA"/>
    <w:rsid w:val="004A540C"/>
    <w:rsid w:val="004A56A8"/>
    <w:rsid w:val="004A57C4"/>
    <w:rsid w:val="004A62D9"/>
    <w:rsid w:val="004A66AA"/>
    <w:rsid w:val="004B0051"/>
    <w:rsid w:val="004B008B"/>
    <w:rsid w:val="004B02FE"/>
    <w:rsid w:val="004B162C"/>
    <w:rsid w:val="004B2327"/>
    <w:rsid w:val="004B2DAA"/>
    <w:rsid w:val="004B3CE2"/>
    <w:rsid w:val="004B418D"/>
    <w:rsid w:val="004B4C80"/>
    <w:rsid w:val="004B5230"/>
    <w:rsid w:val="004B6B05"/>
    <w:rsid w:val="004B6F15"/>
    <w:rsid w:val="004B76D8"/>
    <w:rsid w:val="004B7E1B"/>
    <w:rsid w:val="004C0080"/>
    <w:rsid w:val="004C00F2"/>
    <w:rsid w:val="004C0A5C"/>
    <w:rsid w:val="004C0B9D"/>
    <w:rsid w:val="004C22FA"/>
    <w:rsid w:val="004C240B"/>
    <w:rsid w:val="004C38A5"/>
    <w:rsid w:val="004C5404"/>
    <w:rsid w:val="004C5BC4"/>
    <w:rsid w:val="004C5DFC"/>
    <w:rsid w:val="004C729B"/>
    <w:rsid w:val="004D0D0D"/>
    <w:rsid w:val="004D156A"/>
    <w:rsid w:val="004D2533"/>
    <w:rsid w:val="004D25B3"/>
    <w:rsid w:val="004D48D9"/>
    <w:rsid w:val="004D71EB"/>
    <w:rsid w:val="004D792C"/>
    <w:rsid w:val="004E0661"/>
    <w:rsid w:val="004E0A4F"/>
    <w:rsid w:val="004E0C5B"/>
    <w:rsid w:val="004E20F7"/>
    <w:rsid w:val="004E3AAE"/>
    <w:rsid w:val="004E3CA0"/>
    <w:rsid w:val="004E43CC"/>
    <w:rsid w:val="004E46F8"/>
    <w:rsid w:val="004E4ADF"/>
    <w:rsid w:val="004E4C59"/>
    <w:rsid w:val="004E4E94"/>
    <w:rsid w:val="004E4FC2"/>
    <w:rsid w:val="004E6877"/>
    <w:rsid w:val="004E694E"/>
    <w:rsid w:val="004E7946"/>
    <w:rsid w:val="004E7B46"/>
    <w:rsid w:val="004F014E"/>
    <w:rsid w:val="004F0CA7"/>
    <w:rsid w:val="004F109F"/>
    <w:rsid w:val="004F1B71"/>
    <w:rsid w:val="004F1D62"/>
    <w:rsid w:val="004F2374"/>
    <w:rsid w:val="004F2A32"/>
    <w:rsid w:val="004F2D96"/>
    <w:rsid w:val="004F3BE9"/>
    <w:rsid w:val="004F3FE3"/>
    <w:rsid w:val="004F3FEA"/>
    <w:rsid w:val="004F5305"/>
    <w:rsid w:val="004F5A3A"/>
    <w:rsid w:val="004F5BBE"/>
    <w:rsid w:val="004F5D56"/>
    <w:rsid w:val="004F5F32"/>
    <w:rsid w:val="004F61B4"/>
    <w:rsid w:val="004F6465"/>
    <w:rsid w:val="004F6AF1"/>
    <w:rsid w:val="004F6F84"/>
    <w:rsid w:val="004F70F2"/>
    <w:rsid w:val="005006F5"/>
    <w:rsid w:val="00500D13"/>
    <w:rsid w:val="00500F1C"/>
    <w:rsid w:val="005020BF"/>
    <w:rsid w:val="00503B96"/>
    <w:rsid w:val="00504419"/>
    <w:rsid w:val="005045CB"/>
    <w:rsid w:val="00504E96"/>
    <w:rsid w:val="00505753"/>
    <w:rsid w:val="00506B53"/>
    <w:rsid w:val="00506F99"/>
    <w:rsid w:val="00507A3F"/>
    <w:rsid w:val="005104B3"/>
    <w:rsid w:val="00510716"/>
    <w:rsid w:val="00510757"/>
    <w:rsid w:val="005125E5"/>
    <w:rsid w:val="00512678"/>
    <w:rsid w:val="00512809"/>
    <w:rsid w:val="0051413D"/>
    <w:rsid w:val="0051418A"/>
    <w:rsid w:val="00515191"/>
    <w:rsid w:val="00515370"/>
    <w:rsid w:val="005153F1"/>
    <w:rsid w:val="00516031"/>
    <w:rsid w:val="00516217"/>
    <w:rsid w:val="00516767"/>
    <w:rsid w:val="0051742E"/>
    <w:rsid w:val="0052020E"/>
    <w:rsid w:val="00521075"/>
    <w:rsid w:val="00522A2E"/>
    <w:rsid w:val="00522D24"/>
    <w:rsid w:val="00523052"/>
    <w:rsid w:val="0052321B"/>
    <w:rsid w:val="005241F0"/>
    <w:rsid w:val="005245B3"/>
    <w:rsid w:val="00524C63"/>
    <w:rsid w:val="00525367"/>
    <w:rsid w:val="00526FF2"/>
    <w:rsid w:val="005306BE"/>
    <w:rsid w:val="00532F0F"/>
    <w:rsid w:val="00533220"/>
    <w:rsid w:val="00534113"/>
    <w:rsid w:val="00534652"/>
    <w:rsid w:val="00534A5C"/>
    <w:rsid w:val="00534B28"/>
    <w:rsid w:val="00534D05"/>
    <w:rsid w:val="00535283"/>
    <w:rsid w:val="005352E6"/>
    <w:rsid w:val="00536689"/>
    <w:rsid w:val="00536E4E"/>
    <w:rsid w:val="00541E20"/>
    <w:rsid w:val="00542D3C"/>
    <w:rsid w:val="005434CA"/>
    <w:rsid w:val="00543677"/>
    <w:rsid w:val="005439A8"/>
    <w:rsid w:val="00543A89"/>
    <w:rsid w:val="00543B3D"/>
    <w:rsid w:val="00544A53"/>
    <w:rsid w:val="00544E0E"/>
    <w:rsid w:val="00545CBB"/>
    <w:rsid w:val="00546063"/>
    <w:rsid w:val="005468C9"/>
    <w:rsid w:val="005471F8"/>
    <w:rsid w:val="00550574"/>
    <w:rsid w:val="005522C4"/>
    <w:rsid w:val="00553235"/>
    <w:rsid w:val="005533EE"/>
    <w:rsid w:val="00554C33"/>
    <w:rsid w:val="005555A6"/>
    <w:rsid w:val="00556C80"/>
    <w:rsid w:val="00557EB3"/>
    <w:rsid w:val="00560DFB"/>
    <w:rsid w:val="00560F5C"/>
    <w:rsid w:val="0056172B"/>
    <w:rsid w:val="00562821"/>
    <w:rsid w:val="00562C6F"/>
    <w:rsid w:val="00562EBB"/>
    <w:rsid w:val="00564D56"/>
    <w:rsid w:val="0056537D"/>
    <w:rsid w:val="0056596C"/>
    <w:rsid w:val="00565D31"/>
    <w:rsid w:val="00567827"/>
    <w:rsid w:val="00570083"/>
    <w:rsid w:val="00570429"/>
    <w:rsid w:val="00571660"/>
    <w:rsid w:val="00571F50"/>
    <w:rsid w:val="0057581F"/>
    <w:rsid w:val="00575876"/>
    <w:rsid w:val="00575945"/>
    <w:rsid w:val="00576C75"/>
    <w:rsid w:val="0057755B"/>
    <w:rsid w:val="00577F7E"/>
    <w:rsid w:val="005801AA"/>
    <w:rsid w:val="005809EC"/>
    <w:rsid w:val="005811DC"/>
    <w:rsid w:val="0058175B"/>
    <w:rsid w:val="00582442"/>
    <w:rsid w:val="005831A2"/>
    <w:rsid w:val="00584056"/>
    <w:rsid w:val="005843D8"/>
    <w:rsid w:val="005843DA"/>
    <w:rsid w:val="005844C0"/>
    <w:rsid w:val="00584F9C"/>
    <w:rsid w:val="00585D77"/>
    <w:rsid w:val="0058632C"/>
    <w:rsid w:val="005869D3"/>
    <w:rsid w:val="00586A10"/>
    <w:rsid w:val="00586A8F"/>
    <w:rsid w:val="0058716F"/>
    <w:rsid w:val="00590913"/>
    <w:rsid w:val="00592101"/>
    <w:rsid w:val="00593B58"/>
    <w:rsid w:val="005952DC"/>
    <w:rsid w:val="00595568"/>
    <w:rsid w:val="00595894"/>
    <w:rsid w:val="005A0A2B"/>
    <w:rsid w:val="005A125E"/>
    <w:rsid w:val="005A208D"/>
    <w:rsid w:val="005A396B"/>
    <w:rsid w:val="005A3BBD"/>
    <w:rsid w:val="005A4717"/>
    <w:rsid w:val="005A4BBE"/>
    <w:rsid w:val="005A4EE9"/>
    <w:rsid w:val="005A55DB"/>
    <w:rsid w:val="005A5836"/>
    <w:rsid w:val="005A5F29"/>
    <w:rsid w:val="005A60DE"/>
    <w:rsid w:val="005A65B4"/>
    <w:rsid w:val="005A65D4"/>
    <w:rsid w:val="005A6CB8"/>
    <w:rsid w:val="005B0C52"/>
    <w:rsid w:val="005B1A01"/>
    <w:rsid w:val="005B2E48"/>
    <w:rsid w:val="005B43C8"/>
    <w:rsid w:val="005B5343"/>
    <w:rsid w:val="005B55A2"/>
    <w:rsid w:val="005B69CD"/>
    <w:rsid w:val="005B6D31"/>
    <w:rsid w:val="005C0DDD"/>
    <w:rsid w:val="005C127E"/>
    <w:rsid w:val="005C4C8D"/>
    <w:rsid w:val="005C7468"/>
    <w:rsid w:val="005C77AC"/>
    <w:rsid w:val="005D01FE"/>
    <w:rsid w:val="005D0259"/>
    <w:rsid w:val="005D0E3C"/>
    <w:rsid w:val="005D1D77"/>
    <w:rsid w:val="005D384C"/>
    <w:rsid w:val="005D424B"/>
    <w:rsid w:val="005D50EA"/>
    <w:rsid w:val="005D56EA"/>
    <w:rsid w:val="005D588A"/>
    <w:rsid w:val="005D6A65"/>
    <w:rsid w:val="005D6FDB"/>
    <w:rsid w:val="005E1FF8"/>
    <w:rsid w:val="005E271D"/>
    <w:rsid w:val="005E284C"/>
    <w:rsid w:val="005E3222"/>
    <w:rsid w:val="005E35C4"/>
    <w:rsid w:val="005E3A03"/>
    <w:rsid w:val="005E3C59"/>
    <w:rsid w:val="005E3E3A"/>
    <w:rsid w:val="005E471D"/>
    <w:rsid w:val="005E51E4"/>
    <w:rsid w:val="005E77CF"/>
    <w:rsid w:val="005F06BC"/>
    <w:rsid w:val="005F0D3B"/>
    <w:rsid w:val="005F1FE5"/>
    <w:rsid w:val="005F3E8A"/>
    <w:rsid w:val="005F4019"/>
    <w:rsid w:val="005F4911"/>
    <w:rsid w:val="005F50C3"/>
    <w:rsid w:val="005F7FCD"/>
    <w:rsid w:val="0060011A"/>
    <w:rsid w:val="006006BE"/>
    <w:rsid w:val="006007CA"/>
    <w:rsid w:val="006008D1"/>
    <w:rsid w:val="006017C1"/>
    <w:rsid w:val="00602697"/>
    <w:rsid w:val="00602D32"/>
    <w:rsid w:val="00603957"/>
    <w:rsid w:val="00603C34"/>
    <w:rsid w:val="00603E0E"/>
    <w:rsid w:val="006044E3"/>
    <w:rsid w:val="00604D8A"/>
    <w:rsid w:val="00605156"/>
    <w:rsid w:val="00605A41"/>
    <w:rsid w:val="00605AFC"/>
    <w:rsid w:val="00605F7E"/>
    <w:rsid w:val="0060621D"/>
    <w:rsid w:val="006072EF"/>
    <w:rsid w:val="00607746"/>
    <w:rsid w:val="006101FE"/>
    <w:rsid w:val="00610CFE"/>
    <w:rsid w:val="00610FA5"/>
    <w:rsid w:val="006114E3"/>
    <w:rsid w:val="0061159B"/>
    <w:rsid w:val="00611C92"/>
    <w:rsid w:val="00611FF0"/>
    <w:rsid w:val="00612A22"/>
    <w:rsid w:val="0061323C"/>
    <w:rsid w:val="00613E12"/>
    <w:rsid w:val="00614123"/>
    <w:rsid w:val="00614785"/>
    <w:rsid w:val="00615384"/>
    <w:rsid w:val="0061559E"/>
    <w:rsid w:val="006164A0"/>
    <w:rsid w:val="00616628"/>
    <w:rsid w:val="00616859"/>
    <w:rsid w:val="00621BBF"/>
    <w:rsid w:val="006230FB"/>
    <w:rsid w:val="00624802"/>
    <w:rsid w:val="00625774"/>
    <w:rsid w:val="00627529"/>
    <w:rsid w:val="006277C4"/>
    <w:rsid w:val="006300B3"/>
    <w:rsid w:val="006300CC"/>
    <w:rsid w:val="006301C1"/>
    <w:rsid w:val="00630FD5"/>
    <w:rsid w:val="006320D0"/>
    <w:rsid w:val="00632B07"/>
    <w:rsid w:val="00632FCE"/>
    <w:rsid w:val="006341BE"/>
    <w:rsid w:val="0063496B"/>
    <w:rsid w:val="006352F1"/>
    <w:rsid w:val="006366C9"/>
    <w:rsid w:val="00636EC6"/>
    <w:rsid w:val="00637054"/>
    <w:rsid w:val="00637E22"/>
    <w:rsid w:val="0064030F"/>
    <w:rsid w:val="0064078C"/>
    <w:rsid w:val="0064146D"/>
    <w:rsid w:val="00641A8A"/>
    <w:rsid w:val="00641B7B"/>
    <w:rsid w:val="00641CC3"/>
    <w:rsid w:val="006438C4"/>
    <w:rsid w:val="00643CB2"/>
    <w:rsid w:val="0064408B"/>
    <w:rsid w:val="00645240"/>
    <w:rsid w:val="006456A1"/>
    <w:rsid w:val="006458DF"/>
    <w:rsid w:val="006464E2"/>
    <w:rsid w:val="00646BDA"/>
    <w:rsid w:val="00646F9B"/>
    <w:rsid w:val="00647526"/>
    <w:rsid w:val="00647616"/>
    <w:rsid w:val="00647630"/>
    <w:rsid w:val="006502A5"/>
    <w:rsid w:val="00650346"/>
    <w:rsid w:val="006503D2"/>
    <w:rsid w:val="00650F48"/>
    <w:rsid w:val="00651B6E"/>
    <w:rsid w:val="00652890"/>
    <w:rsid w:val="00653DD4"/>
    <w:rsid w:val="006553BF"/>
    <w:rsid w:val="00655433"/>
    <w:rsid w:val="00655725"/>
    <w:rsid w:val="006562A9"/>
    <w:rsid w:val="00657718"/>
    <w:rsid w:val="00657AF0"/>
    <w:rsid w:val="00660BE1"/>
    <w:rsid w:val="00661721"/>
    <w:rsid w:val="0066181A"/>
    <w:rsid w:val="0066272F"/>
    <w:rsid w:val="006633E8"/>
    <w:rsid w:val="0066705F"/>
    <w:rsid w:val="0066735A"/>
    <w:rsid w:val="006676C8"/>
    <w:rsid w:val="00671328"/>
    <w:rsid w:val="0067289E"/>
    <w:rsid w:val="00673F30"/>
    <w:rsid w:val="00674240"/>
    <w:rsid w:val="00675E09"/>
    <w:rsid w:val="00676024"/>
    <w:rsid w:val="00677210"/>
    <w:rsid w:val="0067750D"/>
    <w:rsid w:val="00677EA0"/>
    <w:rsid w:val="006805C1"/>
    <w:rsid w:val="00680E1C"/>
    <w:rsid w:val="006819AF"/>
    <w:rsid w:val="006827A8"/>
    <w:rsid w:val="00683198"/>
    <w:rsid w:val="00683D0D"/>
    <w:rsid w:val="006848FA"/>
    <w:rsid w:val="00684E79"/>
    <w:rsid w:val="006855DE"/>
    <w:rsid w:val="00686A9A"/>
    <w:rsid w:val="00686C21"/>
    <w:rsid w:val="00687218"/>
    <w:rsid w:val="00687BA4"/>
    <w:rsid w:val="00690825"/>
    <w:rsid w:val="00690A23"/>
    <w:rsid w:val="00691285"/>
    <w:rsid w:val="0069252A"/>
    <w:rsid w:val="006933E2"/>
    <w:rsid w:val="00694330"/>
    <w:rsid w:val="006954DD"/>
    <w:rsid w:val="00696F02"/>
    <w:rsid w:val="00697049"/>
    <w:rsid w:val="00697509"/>
    <w:rsid w:val="006977C4"/>
    <w:rsid w:val="00697D89"/>
    <w:rsid w:val="006A0D3C"/>
    <w:rsid w:val="006A12EC"/>
    <w:rsid w:val="006A19F1"/>
    <w:rsid w:val="006A1BFC"/>
    <w:rsid w:val="006A2475"/>
    <w:rsid w:val="006A47F9"/>
    <w:rsid w:val="006A496A"/>
    <w:rsid w:val="006A5398"/>
    <w:rsid w:val="006A5C8C"/>
    <w:rsid w:val="006A6F30"/>
    <w:rsid w:val="006A7167"/>
    <w:rsid w:val="006B0985"/>
    <w:rsid w:val="006B16B8"/>
    <w:rsid w:val="006B195F"/>
    <w:rsid w:val="006B2183"/>
    <w:rsid w:val="006B2528"/>
    <w:rsid w:val="006B276D"/>
    <w:rsid w:val="006B323A"/>
    <w:rsid w:val="006B3C04"/>
    <w:rsid w:val="006B3F05"/>
    <w:rsid w:val="006B482C"/>
    <w:rsid w:val="006B49DF"/>
    <w:rsid w:val="006B510D"/>
    <w:rsid w:val="006B598F"/>
    <w:rsid w:val="006B5D95"/>
    <w:rsid w:val="006B634E"/>
    <w:rsid w:val="006B7726"/>
    <w:rsid w:val="006B7FC3"/>
    <w:rsid w:val="006C14D2"/>
    <w:rsid w:val="006C4E3C"/>
    <w:rsid w:val="006C4FB2"/>
    <w:rsid w:val="006C60C6"/>
    <w:rsid w:val="006C6E47"/>
    <w:rsid w:val="006C71F5"/>
    <w:rsid w:val="006D00F7"/>
    <w:rsid w:val="006D0573"/>
    <w:rsid w:val="006D0D2A"/>
    <w:rsid w:val="006D1B1C"/>
    <w:rsid w:val="006D2D8C"/>
    <w:rsid w:val="006D3336"/>
    <w:rsid w:val="006D41F2"/>
    <w:rsid w:val="006D4C63"/>
    <w:rsid w:val="006D4F5B"/>
    <w:rsid w:val="006D507C"/>
    <w:rsid w:val="006D5BB9"/>
    <w:rsid w:val="006D625A"/>
    <w:rsid w:val="006D73C9"/>
    <w:rsid w:val="006E0246"/>
    <w:rsid w:val="006E0854"/>
    <w:rsid w:val="006E0F50"/>
    <w:rsid w:val="006E2465"/>
    <w:rsid w:val="006E2530"/>
    <w:rsid w:val="006E2F23"/>
    <w:rsid w:val="006E322B"/>
    <w:rsid w:val="006E3426"/>
    <w:rsid w:val="006E42EC"/>
    <w:rsid w:val="006E5C5D"/>
    <w:rsid w:val="006E70B6"/>
    <w:rsid w:val="006E7D57"/>
    <w:rsid w:val="006F1AC5"/>
    <w:rsid w:val="006F1C3D"/>
    <w:rsid w:val="006F1F15"/>
    <w:rsid w:val="006F3C32"/>
    <w:rsid w:val="006F4CE1"/>
    <w:rsid w:val="006F50A8"/>
    <w:rsid w:val="006F538E"/>
    <w:rsid w:val="006F55FA"/>
    <w:rsid w:val="006F584A"/>
    <w:rsid w:val="006F689B"/>
    <w:rsid w:val="006F69EF"/>
    <w:rsid w:val="006F6AC9"/>
    <w:rsid w:val="006F7361"/>
    <w:rsid w:val="006F7BE8"/>
    <w:rsid w:val="006F7D46"/>
    <w:rsid w:val="007002B8"/>
    <w:rsid w:val="007005D5"/>
    <w:rsid w:val="00700C61"/>
    <w:rsid w:val="007013E9"/>
    <w:rsid w:val="00701768"/>
    <w:rsid w:val="007023E9"/>
    <w:rsid w:val="00702DEE"/>
    <w:rsid w:val="0070311F"/>
    <w:rsid w:val="00703296"/>
    <w:rsid w:val="00705311"/>
    <w:rsid w:val="007062B9"/>
    <w:rsid w:val="00706A07"/>
    <w:rsid w:val="00710626"/>
    <w:rsid w:val="00713C6E"/>
    <w:rsid w:val="00715084"/>
    <w:rsid w:val="00715DAA"/>
    <w:rsid w:val="00715FBA"/>
    <w:rsid w:val="00717DB5"/>
    <w:rsid w:val="00720365"/>
    <w:rsid w:val="00720CF9"/>
    <w:rsid w:val="0072174F"/>
    <w:rsid w:val="00723050"/>
    <w:rsid w:val="007232D9"/>
    <w:rsid w:val="00723328"/>
    <w:rsid w:val="007235FE"/>
    <w:rsid w:val="007237FB"/>
    <w:rsid w:val="0072401B"/>
    <w:rsid w:val="00724079"/>
    <w:rsid w:val="007247AC"/>
    <w:rsid w:val="00725E1D"/>
    <w:rsid w:val="00725F07"/>
    <w:rsid w:val="00725FD1"/>
    <w:rsid w:val="00726451"/>
    <w:rsid w:val="00726E25"/>
    <w:rsid w:val="00727E27"/>
    <w:rsid w:val="00730D61"/>
    <w:rsid w:val="00730EA2"/>
    <w:rsid w:val="007319F4"/>
    <w:rsid w:val="00731AB5"/>
    <w:rsid w:val="00731D12"/>
    <w:rsid w:val="00732911"/>
    <w:rsid w:val="00732AFD"/>
    <w:rsid w:val="00733C66"/>
    <w:rsid w:val="007343EF"/>
    <w:rsid w:val="00735223"/>
    <w:rsid w:val="007353E5"/>
    <w:rsid w:val="0073542D"/>
    <w:rsid w:val="00735447"/>
    <w:rsid w:val="00735B5D"/>
    <w:rsid w:val="00736824"/>
    <w:rsid w:val="007419C8"/>
    <w:rsid w:val="0074386E"/>
    <w:rsid w:val="00743A8D"/>
    <w:rsid w:val="00744A8E"/>
    <w:rsid w:val="0074524F"/>
    <w:rsid w:val="007452E6"/>
    <w:rsid w:val="00747E5F"/>
    <w:rsid w:val="0075320B"/>
    <w:rsid w:val="0075380D"/>
    <w:rsid w:val="007538C6"/>
    <w:rsid w:val="007546EA"/>
    <w:rsid w:val="00755721"/>
    <w:rsid w:val="00755945"/>
    <w:rsid w:val="00755F1B"/>
    <w:rsid w:val="00756A5B"/>
    <w:rsid w:val="007572F7"/>
    <w:rsid w:val="00757768"/>
    <w:rsid w:val="00757F43"/>
    <w:rsid w:val="00760141"/>
    <w:rsid w:val="00761440"/>
    <w:rsid w:val="0076170C"/>
    <w:rsid w:val="00762E8E"/>
    <w:rsid w:val="00764CD6"/>
    <w:rsid w:val="00765598"/>
    <w:rsid w:val="007662AA"/>
    <w:rsid w:val="0076789A"/>
    <w:rsid w:val="007707FD"/>
    <w:rsid w:val="00771089"/>
    <w:rsid w:val="00771580"/>
    <w:rsid w:val="00772577"/>
    <w:rsid w:val="0077416C"/>
    <w:rsid w:val="007758DC"/>
    <w:rsid w:val="00777745"/>
    <w:rsid w:val="007778D5"/>
    <w:rsid w:val="00777ADB"/>
    <w:rsid w:val="00777DED"/>
    <w:rsid w:val="007801B9"/>
    <w:rsid w:val="00781158"/>
    <w:rsid w:val="0078340B"/>
    <w:rsid w:val="00783D41"/>
    <w:rsid w:val="00783F9F"/>
    <w:rsid w:val="00784814"/>
    <w:rsid w:val="00784A30"/>
    <w:rsid w:val="007850BF"/>
    <w:rsid w:val="00785C9B"/>
    <w:rsid w:val="00785FD1"/>
    <w:rsid w:val="0078742E"/>
    <w:rsid w:val="007908B4"/>
    <w:rsid w:val="00791028"/>
    <w:rsid w:val="007939D6"/>
    <w:rsid w:val="00793ACC"/>
    <w:rsid w:val="007941EA"/>
    <w:rsid w:val="00794341"/>
    <w:rsid w:val="00795E7A"/>
    <w:rsid w:val="00795EB7"/>
    <w:rsid w:val="00796BB3"/>
    <w:rsid w:val="00797429"/>
    <w:rsid w:val="007A09ED"/>
    <w:rsid w:val="007A0AF5"/>
    <w:rsid w:val="007A0C93"/>
    <w:rsid w:val="007A30DF"/>
    <w:rsid w:val="007A3DD4"/>
    <w:rsid w:val="007A4302"/>
    <w:rsid w:val="007A4314"/>
    <w:rsid w:val="007A560C"/>
    <w:rsid w:val="007A5C5F"/>
    <w:rsid w:val="007A5EB5"/>
    <w:rsid w:val="007A6085"/>
    <w:rsid w:val="007A6FC4"/>
    <w:rsid w:val="007A7F7F"/>
    <w:rsid w:val="007B0459"/>
    <w:rsid w:val="007B0BFD"/>
    <w:rsid w:val="007B0C1F"/>
    <w:rsid w:val="007B0DDF"/>
    <w:rsid w:val="007B0FDE"/>
    <w:rsid w:val="007B22A0"/>
    <w:rsid w:val="007B2F48"/>
    <w:rsid w:val="007B44F9"/>
    <w:rsid w:val="007B4583"/>
    <w:rsid w:val="007B58F4"/>
    <w:rsid w:val="007B631A"/>
    <w:rsid w:val="007B7139"/>
    <w:rsid w:val="007B72D9"/>
    <w:rsid w:val="007C0ADB"/>
    <w:rsid w:val="007C2153"/>
    <w:rsid w:val="007C2848"/>
    <w:rsid w:val="007C33D2"/>
    <w:rsid w:val="007C3E70"/>
    <w:rsid w:val="007C429C"/>
    <w:rsid w:val="007C54C7"/>
    <w:rsid w:val="007C56BA"/>
    <w:rsid w:val="007C5D97"/>
    <w:rsid w:val="007C6646"/>
    <w:rsid w:val="007C7499"/>
    <w:rsid w:val="007C784F"/>
    <w:rsid w:val="007D1EF6"/>
    <w:rsid w:val="007D26B7"/>
    <w:rsid w:val="007D2992"/>
    <w:rsid w:val="007D29FB"/>
    <w:rsid w:val="007D2ABC"/>
    <w:rsid w:val="007D2DCC"/>
    <w:rsid w:val="007D56C0"/>
    <w:rsid w:val="007D56F2"/>
    <w:rsid w:val="007D607E"/>
    <w:rsid w:val="007D6205"/>
    <w:rsid w:val="007D76FF"/>
    <w:rsid w:val="007D7773"/>
    <w:rsid w:val="007D7F42"/>
    <w:rsid w:val="007E0C1C"/>
    <w:rsid w:val="007E0C40"/>
    <w:rsid w:val="007E1855"/>
    <w:rsid w:val="007E264F"/>
    <w:rsid w:val="007E2D8C"/>
    <w:rsid w:val="007E3251"/>
    <w:rsid w:val="007E332A"/>
    <w:rsid w:val="007E48EA"/>
    <w:rsid w:val="007E6DED"/>
    <w:rsid w:val="007E7183"/>
    <w:rsid w:val="007F11A7"/>
    <w:rsid w:val="007F198B"/>
    <w:rsid w:val="007F27E1"/>
    <w:rsid w:val="007F2C66"/>
    <w:rsid w:val="007F481D"/>
    <w:rsid w:val="007F5829"/>
    <w:rsid w:val="007F590F"/>
    <w:rsid w:val="007F6D6D"/>
    <w:rsid w:val="00800990"/>
    <w:rsid w:val="008026E9"/>
    <w:rsid w:val="00803916"/>
    <w:rsid w:val="00805313"/>
    <w:rsid w:val="00805898"/>
    <w:rsid w:val="00811B95"/>
    <w:rsid w:val="0081330D"/>
    <w:rsid w:val="00813D26"/>
    <w:rsid w:val="008144EE"/>
    <w:rsid w:val="00814639"/>
    <w:rsid w:val="00814E89"/>
    <w:rsid w:val="00815108"/>
    <w:rsid w:val="00815319"/>
    <w:rsid w:val="00815EAA"/>
    <w:rsid w:val="0081664C"/>
    <w:rsid w:val="008173A6"/>
    <w:rsid w:val="008175AD"/>
    <w:rsid w:val="008205B5"/>
    <w:rsid w:val="00820C90"/>
    <w:rsid w:val="00821B1C"/>
    <w:rsid w:val="00821C11"/>
    <w:rsid w:val="008223B9"/>
    <w:rsid w:val="00824D85"/>
    <w:rsid w:val="0082569D"/>
    <w:rsid w:val="00825713"/>
    <w:rsid w:val="00825C57"/>
    <w:rsid w:val="00826500"/>
    <w:rsid w:val="008301D1"/>
    <w:rsid w:val="008305C8"/>
    <w:rsid w:val="00832820"/>
    <w:rsid w:val="00833F03"/>
    <w:rsid w:val="008341D5"/>
    <w:rsid w:val="0083468E"/>
    <w:rsid w:val="00834EAB"/>
    <w:rsid w:val="008351D1"/>
    <w:rsid w:val="008356D9"/>
    <w:rsid w:val="00836770"/>
    <w:rsid w:val="00836893"/>
    <w:rsid w:val="008408B8"/>
    <w:rsid w:val="00840D08"/>
    <w:rsid w:val="008411F2"/>
    <w:rsid w:val="00841DAF"/>
    <w:rsid w:val="00843540"/>
    <w:rsid w:val="0084391E"/>
    <w:rsid w:val="00844971"/>
    <w:rsid w:val="0084498F"/>
    <w:rsid w:val="00845E06"/>
    <w:rsid w:val="008466FA"/>
    <w:rsid w:val="0085032C"/>
    <w:rsid w:val="00852234"/>
    <w:rsid w:val="008524D9"/>
    <w:rsid w:val="00852B8C"/>
    <w:rsid w:val="00852E5C"/>
    <w:rsid w:val="0085512A"/>
    <w:rsid w:val="00855249"/>
    <w:rsid w:val="0085588E"/>
    <w:rsid w:val="0085637C"/>
    <w:rsid w:val="00857569"/>
    <w:rsid w:val="008610F8"/>
    <w:rsid w:val="00861476"/>
    <w:rsid w:val="00861AFE"/>
    <w:rsid w:val="008641B2"/>
    <w:rsid w:val="00865530"/>
    <w:rsid w:val="00865EE0"/>
    <w:rsid w:val="00866C9D"/>
    <w:rsid w:val="008675C2"/>
    <w:rsid w:val="008703A7"/>
    <w:rsid w:val="00870828"/>
    <w:rsid w:val="0087102D"/>
    <w:rsid w:val="00871FDF"/>
    <w:rsid w:val="00872B6F"/>
    <w:rsid w:val="00873054"/>
    <w:rsid w:val="00873158"/>
    <w:rsid w:val="008733DB"/>
    <w:rsid w:val="008743A9"/>
    <w:rsid w:val="00874D59"/>
    <w:rsid w:val="008752AA"/>
    <w:rsid w:val="00876757"/>
    <w:rsid w:val="008767C9"/>
    <w:rsid w:val="00877863"/>
    <w:rsid w:val="00880D12"/>
    <w:rsid w:val="00880D35"/>
    <w:rsid w:val="00880DE1"/>
    <w:rsid w:val="008846A5"/>
    <w:rsid w:val="00884934"/>
    <w:rsid w:val="0088631B"/>
    <w:rsid w:val="00886862"/>
    <w:rsid w:val="00886EED"/>
    <w:rsid w:val="00887868"/>
    <w:rsid w:val="008911FB"/>
    <w:rsid w:val="008913C0"/>
    <w:rsid w:val="008932B7"/>
    <w:rsid w:val="00893DDB"/>
    <w:rsid w:val="00894735"/>
    <w:rsid w:val="0089580B"/>
    <w:rsid w:val="00895DC5"/>
    <w:rsid w:val="00896C96"/>
    <w:rsid w:val="008A0151"/>
    <w:rsid w:val="008A03B1"/>
    <w:rsid w:val="008A0492"/>
    <w:rsid w:val="008A2208"/>
    <w:rsid w:val="008A2940"/>
    <w:rsid w:val="008A31A3"/>
    <w:rsid w:val="008A3D59"/>
    <w:rsid w:val="008A4677"/>
    <w:rsid w:val="008A4CAE"/>
    <w:rsid w:val="008B0FEE"/>
    <w:rsid w:val="008B141E"/>
    <w:rsid w:val="008B1A9B"/>
    <w:rsid w:val="008B1F18"/>
    <w:rsid w:val="008B20D8"/>
    <w:rsid w:val="008B2753"/>
    <w:rsid w:val="008B28FE"/>
    <w:rsid w:val="008B2953"/>
    <w:rsid w:val="008B3423"/>
    <w:rsid w:val="008B391B"/>
    <w:rsid w:val="008B4B1F"/>
    <w:rsid w:val="008B4C5E"/>
    <w:rsid w:val="008B5EA2"/>
    <w:rsid w:val="008B70A3"/>
    <w:rsid w:val="008B7438"/>
    <w:rsid w:val="008B7DFB"/>
    <w:rsid w:val="008C0843"/>
    <w:rsid w:val="008C1E87"/>
    <w:rsid w:val="008C2043"/>
    <w:rsid w:val="008C22FA"/>
    <w:rsid w:val="008C4B61"/>
    <w:rsid w:val="008C59E7"/>
    <w:rsid w:val="008C6308"/>
    <w:rsid w:val="008C6D53"/>
    <w:rsid w:val="008D042D"/>
    <w:rsid w:val="008D0EF8"/>
    <w:rsid w:val="008D1758"/>
    <w:rsid w:val="008D35AC"/>
    <w:rsid w:val="008D39E6"/>
    <w:rsid w:val="008D425B"/>
    <w:rsid w:val="008D5196"/>
    <w:rsid w:val="008D5322"/>
    <w:rsid w:val="008D5776"/>
    <w:rsid w:val="008D5B4C"/>
    <w:rsid w:val="008D6912"/>
    <w:rsid w:val="008D6A5C"/>
    <w:rsid w:val="008D6E42"/>
    <w:rsid w:val="008E0A1C"/>
    <w:rsid w:val="008E11FD"/>
    <w:rsid w:val="008E2708"/>
    <w:rsid w:val="008E2747"/>
    <w:rsid w:val="008E3394"/>
    <w:rsid w:val="008E3898"/>
    <w:rsid w:val="008E618B"/>
    <w:rsid w:val="008E648D"/>
    <w:rsid w:val="008E69CD"/>
    <w:rsid w:val="008E6BDD"/>
    <w:rsid w:val="008F00B3"/>
    <w:rsid w:val="008F03E6"/>
    <w:rsid w:val="008F066D"/>
    <w:rsid w:val="008F0EA5"/>
    <w:rsid w:val="008F202B"/>
    <w:rsid w:val="008F28F6"/>
    <w:rsid w:val="008F518E"/>
    <w:rsid w:val="008F5FAD"/>
    <w:rsid w:val="008F73E6"/>
    <w:rsid w:val="008F77DF"/>
    <w:rsid w:val="009025B9"/>
    <w:rsid w:val="00902C16"/>
    <w:rsid w:val="00902D41"/>
    <w:rsid w:val="00902F1C"/>
    <w:rsid w:val="009043D9"/>
    <w:rsid w:val="00904E7E"/>
    <w:rsid w:val="00905032"/>
    <w:rsid w:val="0090594E"/>
    <w:rsid w:val="009066B4"/>
    <w:rsid w:val="00907CE3"/>
    <w:rsid w:val="00910534"/>
    <w:rsid w:val="00910AE6"/>
    <w:rsid w:val="00910C88"/>
    <w:rsid w:val="00910FCB"/>
    <w:rsid w:val="00911EF2"/>
    <w:rsid w:val="00912938"/>
    <w:rsid w:val="0091310F"/>
    <w:rsid w:val="009132A1"/>
    <w:rsid w:val="00913B8E"/>
    <w:rsid w:val="00913DAB"/>
    <w:rsid w:val="00914CB8"/>
    <w:rsid w:val="00914F1B"/>
    <w:rsid w:val="00915420"/>
    <w:rsid w:val="00916313"/>
    <w:rsid w:val="00916403"/>
    <w:rsid w:val="00920E3C"/>
    <w:rsid w:val="0092206A"/>
    <w:rsid w:val="00922767"/>
    <w:rsid w:val="00922DB7"/>
    <w:rsid w:val="00923183"/>
    <w:rsid w:val="009234E1"/>
    <w:rsid w:val="009237C9"/>
    <w:rsid w:val="009259DB"/>
    <w:rsid w:val="009301D2"/>
    <w:rsid w:val="00930671"/>
    <w:rsid w:val="00930DAD"/>
    <w:rsid w:val="009312BB"/>
    <w:rsid w:val="00931A77"/>
    <w:rsid w:val="00932393"/>
    <w:rsid w:val="00932CDD"/>
    <w:rsid w:val="009331DC"/>
    <w:rsid w:val="00933322"/>
    <w:rsid w:val="00933965"/>
    <w:rsid w:val="00933CA3"/>
    <w:rsid w:val="00933CAA"/>
    <w:rsid w:val="0093404C"/>
    <w:rsid w:val="00934428"/>
    <w:rsid w:val="00934721"/>
    <w:rsid w:val="00935018"/>
    <w:rsid w:val="0093554E"/>
    <w:rsid w:val="00935D18"/>
    <w:rsid w:val="0093612B"/>
    <w:rsid w:val="009362F0"/>
    <w:rsid w:val="00940094"/>
    <w:rsid w:val="0094108F"/>
    <w:rsid w:val="00941E4B"/>
    <w:rsid w:val="00941F75"/>
    <w:rsid w:val="0094213C"/>
    <w:rsid w:val="00942B51"/>
    <w:rsid w:val="00942E5F"/>
    <w:rsid w:val="0094345C"/>
    <w:rsid w:val="009440CA"/>
    <w:rsid w:val="00944655"/>
    <w:rsid w:val="00944707"/>
    <w:rsid w:val="00945912"/>
    <w:rsid w:val="0094602B"/>
    <w:rsid w:val="0094642F"/>
    <w:rsid w:val="00946AD9"/>
    <w:rsid w:val="00946E84"/>
    <w:rsid w:val="009471F0"/>
    <w:rsid w:val="00950144"/>
    <w:rsid w:val="00950CD6"/>
    <w:rsid w:val="0095181C"/>
    <w:rsid w:val="00954FAB"/>
    <w:rsid w:val="00955034"/>
    <w:rsid w:val="0095559C"/>
    <w:rsid w:val="0095580A"/>
    <w:rsid w:val="00956631"/>
    <w:rsid w:val="00956BE7"/>
    <w:rsid w:val="0095773B"/>
    <w:rsid w:val="00957F3A"/>
    <w:rsid w:val="00960476"/>
    <w:rsid w:val="0096230C"/>
    <w:rsid w:val="009630B5"/>
    <w:rsid w:val="00964E0D"/>
    <w:rsid w:val="009650D0"/>
    <w:rsid w:val="009654D9"/>
    <w:rsid w:val="0096577B"/>
    <w:rsid w:val="00966B34"/>
    <w:rsid w:val="00967126"/>
    <w:rsid w:val="009674FB"/>
    <w:rsid w:val="00967C28"/>
    <w:rsid w:val="009702E9"/>
    <w:rsid w:val="00970DC9"/>
    <w:rsid w:val="00971004"/>
    <w:rsid w:val="009714E3"/>
    <w:rsid w:val="00972CED"/>
    <w:rsid w:val="00973399"/>
    <w:rsid w:val="009736F4"/>
    <w:rsid w:val="009740FD"/>
    <w:rsid w:val="0097519D"/>
    <w:rsid w:val="009759E6"/>
    <w:rsid w:val="009765A4"/>
    <w:rsid w:val="00976843"/>
    <w:rsid w:val="00977220"/>
    <w:rsid w:val="00977A6E"/>
    <w:rsid w:val="00980191"/>
    <w:rsid w:val="00980BC8"/>
    <w:rsid w:val="009813F1"/>
    <w:rsid w:val="009816F9"/>
    <w:rsid w:val="00981A61"/>
    <w:rsid w:val="00981AD3"/>
    <w:rsid w:val="00981AE9"/>
    <w:rsid w:val="00981F6E"/>
    <w:rsid w:val="009822EB"/>
    <w:rsid w:val="00982D40"/>
    <w:rsid w:val="00983509"/>
    <w:rsid w:val="00983E2C"/>
    <w:rsid w:val="00984BB4"/>
    <w:rsid w:val="00984EB8"/>
    <w:rsid w:val="009854B7"/>
    <w:rsid w:val="00985719"/>
    <w:rsid w:val="009861AC"/>
    <w:rsid w:val="00986B35"/>
    <w:rsid w:val="00987817"/>
    <w:rsid w:val="009915C0"/>
    <w:rsid w:val="009959C8"/>
    <w:rsid w:val="00996AC6"/>
    <w:rsid w:val="0099714B"/>
    <w:rsid w:val="009A0318"/>
    <w:rsid w:val="009A10FF"/>
    <w:rsid w:val="009A2A11"/>
    <w:rsid w:val="009A2C82"/>
    <w:rsid w:val="009A3704"/>
    <w:rsid w:val="009A38A2"/>
    <w:rsid w:val="009A3B20"/>
    <w:rsid w:val="009A4741"/>
    <w:rsid w:val="009A47EB"/>
    <w:rsid w:val="009A5EF9"/>
    <w:rsid w:val="009A6939"/>
    <w:rsid w:val="009A7761"/>
    <w:rsid w:val="009A7836"/>
    <w:rsid w:val="009A7AC5"/>
    <w:rsid w:val="009A7F22"/>
    <w:rsid w:val="009A7FBF"/>
    <w:rsid w:val="009B0326"/>
    <w:rsid w:val="009B04DB"/>
    <w:rsid w:val="009B0833"/>
    <w:rsid w:val="009B10A3"/>
    <w:rsid w:val="009B27DD"/>
    <w:rsid w:val="009B2CFF"/>
    <w:rsid w:val="009B3470"/>
    <w:rsid w:val="009B415C"/>
    <w:rsid w:val="009B50BC"/>
    <w:rsid w:val="009B5674"/>
    <w:rsid w:val="009B5BA4"/>
    <w:rsid w:val="009B6989"/>
    <w:rsid w:val="009B7774"/>
    <w:rsid w:val="009C13FD"/>
    <w:rsid w:val="009C17D6"/>
    <w:rsid w:val="009C371A"/>
    <w:rsid w:val="009C3974"/>
    <w:rsid w:val="009C3E7C"/>
    <w:rsid w:val="009C41B8"/>
    <w:rsid w:val="009C4D82"/>
    <w:rsid w:val="009C6133"/>
    <w:rsid w:val="009C679E"/>
    <w:rsid w:val="009C69FA"/>
    <w:rsid w:val="009C7827"/>
    <w:rsid w:val="009D01CF"/>
    <w:rsid w:val="009D03F4"/>
    <w:rsid w:val="009D2618"/>
    <w:rsid w:val="009D2669"/>
    <w:rsid w:val="009D26EB"/>
    <w:rsid w:val="009D313A"/>
    <w:rsid w:val="009D33DE"/>
    <w:rsid w:val="009D3677"/>
    <w:rsid w:val="009D3ACC"/>
    <w:rsid w:val="009D3F22"/>
    <w:rsid w:val="009D47F9"/>
    <w:rsid w:val="009D4CD1"/>
    <w:rsid w:val="009D5F06"/>
    <w:rsid w:val="009D626D"/>
    <w:rsid w:val="009D70E1"/>
    <w:rsid w:val="009D7961"/>
    <w:rsid w:val="009D7E5B"/>
    <w:rsid w:val="009E035C"/>
    <w:rsid w:val="009E04FA"/>
    <w:rsid w:val="009E1B7A"/>
    <w:rsid w:val="009E3771"/>
    <w:rsid w:val="009E4172"/>
    <w:rsid w:val="009E4231"/>
    <w:rsid w:val="009E47EB"/>
    <w:rsid w:val="009E52DA"/>
    <w:rsid w:val="009E650F"/>
    <w:rsid w:val="009E7487"/>
    <w:rsid w:val="009F017F"/>
    <w:rsid w:val="009F0291"/>
    <w:rsid w:val="009F08D0"/>
    <w:rsid w:val="009F0FA8"/>
    <w:rsid w:val="009F10BC"/>
    <w:rsid w:val="009F23C7"/>
    <w:rsid w:val="009F2545"/>
    <w:rsid w:val="009F275E"/>
    <w:rsid w:val="009F2FCC"/>
    <w:rsid w:val="009F3B4E"/>
    <w:rsid w:val="009F3EEB"/>
    <w:rsid w:val="009F46B5"/>
    <w:rsid w:val="009F4910"/>
    <w:rsid w:val="009F50FD"/>
    <w:rsid w:val="009F5528"/>
    <w:rsid w:val="009F720D"/>
    <w:rsid w:val="00A00208"/>
    <w:rsid w:val="00A006A7"/>
    <w:rsid w:val="00A012BE"/>
    <w:rsid w:val="00A02624"/>
    <w:rsid w:val="00A0388D"/>
    <w:rsid w:val="00A04BC6"/>
    <w:rsid w:val="00A04DF9"/>
    <w:rsid w:val="00A05627"/>
    <w:rsid w:val="00A056FB"/>
    <w:rsid w:val="00A05C7D"/>
    <w:rsid w:val="00A05CDC"/>
    <w:rsid w:val="00A07785"/>
    <w:rsid w:val="00A10954"/>
    <w:rsid w:val="00A10B3D"/>
    <w:rsid w:val="00A10D04"/>
    <w:rsid w:val="00A11619"/>
    <w:rsid w:val="00A11BFC"/>
    <w:rsid w:val="00A124D5"/>
    <w:rsid w:val="00A12C94"/>
    <w:rsid w:val="00A1379B"/>
    <w:rsid w:val="00A13E9F"/>
    <w:rsid w:val="00A16200"/>
    <w:rsid w:val="00A17584"/>
    <w:rsid w:val="00A2239D"/>
    <w:rsid w:val="00A23A9F"/>
    <w:rsid w:val="00A245CE"/>
    <w:rsid w:val="00A2511A"/>
    <w:rsid w:val="00A25C0B"/>
    <w:rsid w:val="00A268B4"/>
    <w:rsid w:val="00A26E28"/>
    <w:rsid w:val="00A2743E"/>
    <w:rsid w:val="00A27BE6"/>
    <w:rsid w:val="00A30E9A"/>
    <w:rsid w:val="00A31788"/>
    <w:rsid w:val="00A3185C"/>
    <w:rsid w:val="00A319B0"/>
    <w:rsid w:val="00A326E1"/>
    <w:rsid w:val="00A32B13"/>
    <w:rsid w:val="00A351A1"/>
    <w:rsid w:val="00A354CA"/>
    <w:rsid w:val="00A358A9"/>
    <w:rsid w:val="00A36A46"/>
    <w:rsid w:val="00A36C62"/>
    <w:rsid w:val="00A376FD"/>
    <w:rsid w:val="00A40150"/>
    <w:rsid w:val="00A40401"/>
    <w:rsid w:val="00A4086F"/>
    <w:rsid w:val="00A409A9"/>
    <w:rsid w:val="00A40BC6"/>
    <w:rsid w:val="00A44AE5"/>
    <w:rsid w:val="00A44D5A"/>
    <w:rsid w:val="00A45423"/>
    <w:rsid w:val="00A458FF"/>
    <w:rsid w:val="00A45B42"/>
    <w:rsid w:val="00A46882"/>
    <w:rsid w:val="00A50C82"/>
    <w:rsid w:val="00A50FEB"/>
    <w:rsid w:val="00A5173C"/>
    <w:rsid w:val="00A52099"/>
    <w:rsid w:val="00A52B0F"/>
    <w:rsid w:val="00A5364E"/>
    <w:rsid w:val="00A54E61"/>
    <w:rsid w:val="00A555AD"/>
    <w:rsid w:val="00A603C4"/>
    <w:rsid w:val="00A61B9F"/>
    <w:rsid w:val="00A624E4"/>
    <w:rsid w:val="00A62B94"/>
    <w:rsid w:val="00A6365B"/>
    <w:rsid w:val="00A63C02"/>
    <w:rsid w:val="00A644F9"/>
    <w:rsid w:val="00A645CA"/>
    <w:rsid w:val="00A648B5"/>
    <w:rsid w:val="00A651F6"/>
    <w:rsid w:val="00A66C81"/>
    <w:rsid w:val="00A66F26"/>
    <w:rsid w:val="00A71651"/>
    <w:rsid w:val="00A72FD9"/>
    <w:rsid w:val="00A733CF"/>
    <w:rsid w:val="00A73682"/>
    <w:rsid w:val="00A747A1"/>
    <w:rsid w:val="00A75A11"/>
    <w:rsid w:val="00A75A69"/>
    <w:rsid w:val="00A7628F"/>
    <w:rsid w:val="00A77290"/>
    <w:rsid w:val="00A7731B"/>
    <w:rsid w:val="00A80022"/>
    <w:rsid w:val="00A80F39"/>
    <w:rsid w:val="00A80F9C"/>
    <w:rsid w:val="00A80FAA"/>
    <w:rsid w:val="00A8107E"/>
    <w:rsid w:val="00A81E24"/>
    <w:rsid w:val="00A83659"/>
    <w:rsid w:val="00A838E9"/>
    <w:rsid w:val="00A83B2F"/>
    <w:rsid w:val="00A83E68"/>
    <w:rsid w:val="00A841EC"/>
    <w:rsid w:val="00A8453E"/>
    <w:rsid w:val="00A85239"/>
    <w:rsid w:val="00A85366"/>
    <w:rsid w:val="00A85A42"/>
    <w:rsid w:val="00A86032"/>
    <w:rsid w:val="00A864DC"/>
    <w:rsid w:val="00A868EE"/>
    <w:rsid w:val="00A86C34"/>
    <w:rsid w:val="00A90033"/>
    <w:rsid w:val="00A90678"/>
    <w:rsid w:val="00A9091C"/>
    <w:rsid w:val="00A90E26"/>
    <w:rsid w:val="00A91938"/>
    <w:rsid w:val="00A92E9A"/>
    <w:rsid w:val="00A92F10"/>
    <w:rsid w:val="00A937D3"/>
    <w:rsid w:val="00A93A15"/>
    <w:rsid w:val="00A93B34"/>
    <w:rsid w:val="00A94580"/>
    <w:rsid w:val="00A94D1A"/>
    <w:rsid w:val="00A951AD"/>
    <w:rsid w:val="00A95950"/>
    <w:rsid w:val="00A9602D"/>
    <w:rsid w:val="00A96208"/>
    <w:rsid w:val="00A96A17"/>
    <w:rsid w:val="00A96B8A"/>
    <w:rsid w:val="00A974B4"/>
    <w:rsid w:val="00AA0119"/>
    <w:rsid w:val="00AA1CEC"/>
    <w:rsid w:val="00AA2053"/>
    <w:rsid w:val="00AA3216"/>
    <w:rsid w:val="00AA3E68"/>
    <w:rsid w:val="00AA3EF9"/>
    <w:rsid w:val="00AA4AA7"/>
    <w:rsid w:val="00AA4EE4"/>
    <w:rsid w:val="00AA57AE"/>
    <w:rsid w:val="00AA5A46"/>
    <w:rsid w:val="00AA6126"/>
    <w:rsid w:val="00AB068C"/>
    <w:rsid w:val="00AB0EB2"/>
    <w:rsid w:val="00AB183E"/>
    <w:rsid w:val="00AB1EFB"/>
    <w:rsid w:val="00AB21A7"/>
    <w:rsid w:val="00AB25DF"/>
    <w:rsid w:val="00AB3058"/>
    <w:rsid w:val="00AB3A49"/>
    <w:rsid w:val="00AB3B58"/>
    <w:rsid w:val="00AB66C5"/>
    <w:rsid w:val="00AB7502"/>
    <w:rsid w:val="00AB76DC"/>
    <w:rsid w:val="00AB7F8D"/>
    <w:rsid w:val="00AC0145"/>
    <w:rsid w:val="00AC068F"/>
    <w:rsid w:val="00AC12C5"/>
    <w:rsid w:val="00AC1ACA"/>
    <w:rsid w:val="00AC2782"/>
    <w:rsid w:val="00AC33D6"/>
    <w:rsid w:val="00AC4A68"/>
    <w:rsid w:val="00AC4AAB"/>
    <w:rsid w:val="00AC5846"/>
    <w:rsid w:val="00AC6107"/>
    <w:rsid w:val="00AD0D57"/>
    <w:rsid w:val="00AD0FA3"/>
    <w:rsid w:val="00AD12A3"/>
    <w:rsid w:val="00AD1890"/>
    <w:rsid w:val="00AD1C26"/>
    <w:rsid w:val="00AD2ACC"/>
    <w:rsid w:val="00AD4347"/>
    <w:rsid w:val="00AD47EB"/>
    <w:rsid w:val="00AD5389"/>
    <w:rsid w:val="00AD5BB3"/>
    <w:rsid w:val="00AD6E7E"/>
    <w:rsid w:val="00AD722C"/>
    <w:rsid w:val="00AE0E8C"/>
    <w:rsid w:val="00AE1F17"/>
    <w:rsid w:val="00AE2121"/>
    <w:rsid w:val="00AE2588"/>
    <w:rsid w:val="00AE2744"/>
    <w:rsid w:val="00AE2B0E"/>
    <w:rsid w:val="00AE32C9"/>
    <w:rsid w:val="00AE40FC"/>
    <w:rsid w:val="00AE45A1"/>
    <w:rsid w:val="00AE549F"/>
    <w:rsid w:val="00AE637E"/>
    <w:rsid w:val="00AE7E3A"/>
    <w:rsid w:val="00AF020C"/>
    <w:rsid w:val="00AF06DC"/>
    <w:rsid w:val="00AF0EE0"/>
    <w:rsid w:val="00AF1713"/>
    <w:rsid w:val="00AF2012"/>
    <w:rsid w:val="00AF2FC0"/>
    <w:rsid w:val="00AF33E6"/>
    <w:rsid w:val="00AF6B80"/>
    <w:rsid w:val="00AF763C"/>
    <w:rsid w:val="00B0005E"/>
    <w:rsid w:val="00B00513"/>
    <w:rsid w:val="00B00904"/>
    <w:rsid w:val="00B01168"/>
    <w:rsid w:val="00B021BF"/>
    <w:rsid w:val="00B02EC7"/>
    <w:rsid w:val="00B0330F"/>
    <w:rsid w:val="00B037D7"/>
    <w:rsid w:val="00B04A0D"/>
    <w:rsid w:val="00B04F30"/>
    <w:rsid w:val="00B05752"/>
    <w:rsid w:val="00B05D18"/>
    <w:rsid w:val="00B07C03"/>
    <w:rsid w:val="00B07DA9"/>
    <w:rsid w:val="00B10254"/>
    <w:rsid w:val="00B10A29"/>
    <w:rsid w:val="00B10F6F"/>
    <w:rsid w:val="00B12897"/>
    <w:rsid w:val="00B14208"/>
    <w:rsid w:val="00B1588E"/>
    <w:rsid w:val="00B1629D"/>
    <w:rsid w:val="00B16F4B"/>
    <w:rsid w:val="00B17085"/>
    <w:rsid w:val="00B1711B"/>
    <w:rsid w:val="00B17CCD"/>
    <w:rsid w:val="00B206BC"/>
    <w:rsid w:val="00B23EBE"/>
    <w:rsid w:val="00B250EB"/>
    <w:rsid w:val="00B25F9F"/>
    <w:rsid w:val="00B264C7"/>
    <w:rsid w:val="00B272A6"/>
    <w:rsid w:val="00B2776B"/>
    <w:rsid w:val="00B27C8D"/>
    <w:rsid w:val="00B313C5"/>
    <w:rsid w:val="00B32A3D"/>
    <w:rsid w:val="00B33407"/>
    <w:rsid w:val="00B346E8"/>
    <w:rsid w:val="00B352F9"/>
    <w:rsid w:val="00B354AB"/>
    <w:rsid w:val="00B37488"/>
    <w:rsid w:val="00B37BC2"/>
    <w:rsid w:val="00B37EE1"/>
    <w:rsid w:val="00B411F3"/>
    <w:rsid w:val="00B42E8A"/>
    <w:rsid w:val="00B431BF"/>
    <w:rsid w:val="00B43F05"/>
    <w:rsid w:val="00B43FA2"/>
    <w:rsid w:val="00B44314"/>
    <w:rsid w:val="00B46968"/>
    <w:rsid w:val="00B46EFE"/>
    <w:rsid w:val="00B50239"/>
    <w:rsid w:val="00B507B5"/>
    <w:rsid w:val="00B50C7D"/>
    <w:rsid w:val="00B51BF1"/>
    <w:rsid w:val="00B5549A"/>
    <w:rsid w:val="00B555FE"/>
    <w:rsid w:val="00B57622"/>
    <w:rsid w:val="00B57EA5"/>
    <w:rsid w:val="00B61D60"/>
    <w:rsid w:val="00B624E5"/>
    <w:rsid w:val="00B631D4"/>
    <w:rsid w:val="00B63229"/>
    <w:rsid w:val="00B63993"/>
    <w:rsid w:val="00B644E0"/>
    <w:rsid w:val="00B64653"/>
    <w:rsid w:val="00B65271"/>
    <w:rsid w:val="00B65301"/>
    <w:rsid w:val="00B65417"/>
    <w:rsid w:val="00B654DE"/>
    <w:rsid w:val="00B660BD"/>
    <w:rsid w:val="00B66681"/>
    <w:rsid w:val="00B670F2"/>
    <w:rsid w:val="00B676FB"/>
    <w:rsid w:val="00B70341"/>
    <w:rsid w:val="00B722DA"/>
    <w:rsid w:val="00B73554"/>
    <w:rsid w:val="00B74838"/>
    <w:rsid w:val="00B75D62"/>
    <w:rsid w:val="00B75E69"/>
    <w:rsid w:val="00B76F22"/>
    <w:rsid w:val="00B7759D"/>
    <w:rsid w:val="00B80466"/>
    <w:rsid w:val="00B809BF"/>
    <w:rsid w:val="00B81E9F"/>
    <w:rsid w:val="00B82D2B"/>
    <w:rsid w:val="00B82DD9"/>
    <w:rsid w:val="00B83C7A"/>
    <w:rsid w:val="00B8416A"/>
    <w:rsid w:val="00B84E2E"/>
    <w:rsid w:val="00B84EEC"/>
    <w:rsid w:val="00B85EFB"/>
    <w:rsid w:val="00B8686F"/>
    <w:rsid w:val="00B87883"/>
    <w:rsid w:val="00B878C5"/>
    <w:rsid w:val="00B87B99"/>
    <w:rsid w:val="00B90F33"/>
    <w:rsid w:val="00B910F4"/>
    <w:rsid w:val="00B9186A"/>
    <w:rsid w:val="00B91B66"/>
    <w:rsid w:val="00B91B89"/>
    <w:rsid w:val="00B92761"/>
    <w:rsid w:val="00B94833"/>
    <w:rsid w:val="00B94A18"/>
    <w:rsid w:val="00B9501F"/>
    <w:rsid w:val="00B955B7"/>
    <w:rsid w:val="00B9565D"/>
    <w:rsid w:val="00B96483"/>
    <w:rsid w:val="00B96A15"/>
    <w:rsid w:val="00B96EBE"/>
    <w:rsid w:val="00B96FCD"/>
    <w:rsid w:val="00BA0714"/>
    <w:rsid w:val="00BA1157"/>
    <w:rsid w:val="00BA1719"/>
    <w:rsid w:val="00BA1E35"/>
    <w:rsid w:val="00BA2686"/>
    <w:rsid w:val="00BA2F8C"/>
    <w:rsid w:val="00BA42DE"/>
    <w:rsid w:val="00BA43CD"/>
    <w:rsid w:val="00BA46BD"/>
    <w:rsid w:val="00BA4B13"/>
    <w:rsid w:val="00BA54CD"/>
    <w:rsid w:val="00BA79FA"/>
    <w:rsid w:val="00BA7CF5"/>
    <w:rsid w:val="00BB192C"/>
    <w:rsid w:val="00BB2D20"/>
    <w:rsid w:val="00BB2F85"/>
    <w:rsid w:val="00BB3ACE"/>
    <w:rsid w:val="00BB4C0D"/>
    <w:rsid w:val="00BB6D31"/>
    <w:rsid w:val="00BB7A38"/>
    <w:rsid w:val="00BC09B6"/>
    <w:rsid w:val="00BC1347"/>
    <w:rsid w:val="00BC2282"/>
    <w:rsid w:val="00BC2762"/>
    <w:rsid w:val="00BC376F"/>
    <w:rsid w:val="00BC45D5"/>
    <w:rsid w:val="00BC46FF"/>
    <w:rsid w:val="00BC4930"/>
    <w:rsid w:val="00BC4D58"/>
    <w:rsid w:val="00BC57B1"/>
    <w:rsid w:val="00BC61D8"/>
    <w:rsid w:val="00BC7290"/>
    <w:rsid w:val="00BD02C9"/>
    <w:rsid w:val="00BD05D3"/>
    <w:rsid w:val="00BD0AD1"/>
    <w:rsid w:val="00BD1DAB"/>
    <w:rsid w:val="00BD1F48"/>
    <w:rsid w:val="00BD2A3A"/>
    <w:rsid w:val="00BD31C0"/>
    <w:rsid w:val="00BD33EA"/>
    <w:rsid w:val="00BD3AB8"/>
    <w:rsid w:val="00BD4A02"/>
    <w:rsid w:val="00BD6705"/>
    <w:rsid w:val="00BD6E6C"/>
    <w:rsid w:val="00BD75B8"/>
    <w:rsid w:val="00BD77F7"/>
    <w:rsid w:val="00BD788F"/>
    <w:rsid w:val="00BD7B5A"/>
    <w:rsid w:val="00BE08BE"/>
    <w:rsid w:val="00BE0B4E"/>
    <w:rsid w:val="00BE0EB4"/>
    <w:rsid w:val="00BE330A"/>
    <w:rsid w:val="00BE3762"/>
    <w:rsid w:val="00BE4811"/>
    <w:rsid w:val="00BE4E30"/>
    <w:rsid w:val="00BE5A5E"/>
    <w:rsid w:val="00BE68AA"/>
    <w:rsid w:val="00BE6D11"/>
    <w:rsid w:val="00BE7B39"/>
    <w:rsid w:val="00BF0196"/>
    <w:rsid w:val="00BF042F"/>
    <w:rsid w:val="00BF0F73"/>
    <w:rsid w:val="00BF1604"/>
    <w:rsid w:val="00BF1E04"/>
    <w:rsid w:val="00BF22BF"/>
    <w:rsid w:val="00BF23BB"/>
    <w:rsid w:val="00BF353C"/>
    <w:rsid w:val="00BF35F2"/>
    <w:rsid w:val="00BF3892"/>
    <w:rsid w:val="00BF6915"/>
    <w:rsid w:val="00C000DA"/>
    <w:rsid w:val="00C004A5"/>
    <w:rsid w:val="00C00CB0"/>
    <w:rsid w:val="00C00D65"/>
    <w:rsid w:val="00C0109F"/>
    <w:rsid w:val="00C014B7"/>
    <w:rsid w:val="00C0238D"/>
    <w:rsid w:val="00C03299"/>
    <w:rsid w:val="00C03809"/>
    <w:rsid w:val="00C042FC"/>
    <w:rsid w:val="00C04363"/>
    <w:rsid w:val="00C0442F"/>
    <w:rsid w:val="00C04C29"/>
    <w:rsid w:val="00C04E75"/>
    <w:rsid w:val="00C05A9D"/>
    <w:rsid w:val="00C06235"/>
    <w:rsid w:val="00C0705A"/>
    <w:rsid w:val="00C1038D"/>
    <w:rsid w:val="00C10C9E"/>
    <w:rsid w:val="00C12166"/>
    <w:rsid w:val="00C121C4"/>
    <w:rsid w:val="00C12FB5"/>
    <w:rsid w:val="00C13F6F"/>
    <w:rsid w:val="00C14FDC"/>
    <w:rsid w:val="00C15B44"/>
    <w:rsid w:val="00C16202"/>
    <w:rsid w:val="00C167A0"/>
    <w:rsid w:val="00C167FC"/>
    <w:rsid w:val="00C17627"/>
    <w:rsid w:val="00C2060E"/>
    <w:rsid w:val="00C21FAA"/>
    <w:rsid w:val="00C22391"/>
    <w:rsid w:val="00C22D5C"/>
    <w:rsid w:val="00C2328A"/>
    <w:rsid w:val="00C25645"/>
    <w:rsid w:val="00C26A9D"/>
    <w:rsid w:val="00C26BE4"/>
    <w:rsid w:val="00C27356"/>
    <w:rsid w:val="00C27826"/>
    <w:rsid w:val="00C2791C"/>
    <w:rsid w:val="00C27CD8"/>
    <w:rsid w:val="00C303F0"/>
    <w:rsid w:val="00C30473"/>
    <w:rsid w:val="00C30A2B"/>
    <w:rsid w:val="00C31DB6"/>
    <w:rsid w:val="00C3239E"/>
    <w:rsid w:val="00C32A84"/>
    <w:rsid w:val="00C335B2"/>
    <w:rsid w:val="00C33A45"/>
    <w:rsid w:val="00C33CDE"/>
    <w:rsid w:val="00C34429"/>
    <w:rsid w:val="00C34FD8"/>
    <w:rsid w:val="00C351CE"/>
    <w:rsid w:val="00C35589"/>
    <w:rsid w:val="00C35B2F"/>
    <w:rsid w:val="00C36332"/>
    <w:rsid w:val="00C36BB2"/>
    <w:rsid w:val="00C370A1"/>
    <w:rsid w:val="00C375AB"/>
    <w:rsid w:val="00C4038B"/>
    <w:rsid w:val="00C4042B"/>
    <w:rsid w:val="00C40809"/>
    <w:rsid w:val="00C4169B"/>
    <w:rsid w:val="00C42B6D"/>
    <w:rsid w:val="00C4366F"/>
    <w:rsid w:val="00C43953"/>
    <w:rsid w:val="00C447C0"/>
    <w:rsid w:val="00C45CAB"/>
    <w:rsid w:val="00C46C78"/>
    <w:rsid w:val="00C47ACD"/>
    <w:rsid w:val="00C51396"/>
    <w:rsid w:val="00C51D8E"/>
    <w:rsid w:val="00C51F0F"/>
    <w:rsid w:val="00C5214B"/>
    <w:rsid w:val="00C53261"/>
    <w:rsid w:val="00C53A15"/>
    <w:rsid w:val="00C540D1"/>
    <w:rsid w:val="00C55A12"/>
    <w:rsid w:val="00C55A84"/>
    <w:rsid w:val="00C55CB6"/>
    <w:rsid w:val="00C5608F"/>
    <w:rsid w:val="00C560A0"/>
    <w:rsid w:val="00C57160"/>
    <w:rsid w:val="00C61979"/>
    <w:rsid w:val="00C619B0"/>
    <w:rsid w:val="00C62390"/>
    <w:rsid w:val="00C63350"/>
    <w:rsid w:val="00C63800"/>
    <w:rsid w:val="00C63E60"/>
    <w:rsid w:val="00C64835"/>
    <w:rsid w:val="00C6544D"/>
    <w:rsid w:val="00C65EF6"/>
    <w:rsid w:val="00C703A7"/>
    <w:rsid w:val="00C72E7F"/>
    <w:rsid w:val="00C7369E"/>
    <w:rsid w:val="00C738F4"/>
    <w:rsid w:val="00C7475B"/>
    <w:rsid w:val="00C74C8A"/>
    <w:rsid w:val="00C7501F"/>
    <w:rsid w:val="00C75068"/>
    <w:rsid w:val="00C751DD"/>
    <w:rsid w:val="00C75619"/>
    <w:rsid w:val="00C75E07"/>
    <w:rsid w:val="00C77771"/>
    <w:rsid w:val="00C7799C"/>
    <w:rsid w:val="00C803E5"/>
    <w:rsid w:val="00C81473"/>
    <w:rsid w:val="00C81697"/>
    <w:rsid w:val="00C81A85"/>
    <w:rsid w:val="00C8211C"/>
    <w:rsid w:val="00C83596"/>
    <w:rsid w:val="00C8369B"/>
    <w:rsid w:val="00C847D4"/>
    <w:rsid w:val="00C87747"/>
    <w:rsid w:val="00C9014A"/>
    <w:rsid w:val="00C907E2"/>
    <w:rsid w:val="00C90EA2"/>
    <w:rsid w:val="00C91BC3"/>
    <w:rsid w:val="00C91C49"/>
    <w:rsid w:val="00C91D3F"/>
    <w:rsid w:val="00C91EAF"/>
    <w:rsid w:val="00C92069"/>
    <w:rsid w:val="00C92349"/>
    <w:rsid w:val="00C9310E"/>
    <w:rsid w:val="00C93878"/>
    <w:rsid w:val="00C93B03"/>
    <w:rsid w:val="00C93F52"/>
    <w:rsid w:val="00C93FDF"/>
    <w:rsid w:val="00C95046"/>
    <w:rsid w:val="00C95693"/>
    <w:rsid w:val="00C958BE"/>
    <w:rsid w:val="00C95E25"/>
    <w:rsid w:val="00C9639A"/>
    <w:rsid w:val="00C979B5"/>
    <w:rsid w:val="00CA126F"/>
    <w:rsid w:val="00CA1660"/>
    <w:rsid w:val="00CA24BE"/>
    <w:rsid w:val="00CA24C0"/>
    <w:rsid w:val="00CA2B12"/>
    <w:rsid w:val="00CA516C"/>
    <w:rsid w:val="00CA56E1"/>
    <w:rsid w:val="00CA5F3E"/>
    <w:rsid w:val="00CA668E"/>
    <w:rsid w:val="00CA7A6F"/>
    <w:rsid w:val="00CB0439"/>
    <w:rsid w:val="00CB0EE6"/>
    <w:rsid w:val="00CB1E43"/>
    <w:rsid w:val="00CB1F85"/>
    <w:rsid w:val="00CB20CD"/>
    <w:rsid w:val="00CB295F"/>
    <w:rsid w:val="00CB352C"/>
    <w:rsid w:val="00CB4ABB"/>
    <w:rsid w:val="00CB5B80"/>
    <w:rsid w:val="00CB7275"/>
    <w:rsid w:val="00CB7368"/>
    <w:rsid w:val="00CB7419"/>
    <w:rsid w:val="00CB7A06"/>
    <w:rsid w:val="00CB7D16"/>
    <w:rsid w:val="00CC04BB"/>
    <w:rsid w:val="00CC0B5B"/>
    <w:rsid w:val="00CC0C4D"/>
    <w:rsid w:val="00CC0DBB"/>
    <w:rsid w:val="00CC0E8C"/>
    <w:rsid w:val="00CC114D"/>
    <w:rsid w:val="00CC16BE"/>
    <w:rsid w:val="00CC22B8"/>
    <w:rsid w:val="00CC29A1"/>
    <w:rsid w:val="00CC3891"/>
    <w:rsid w:val="00CC50C9"/>
    <w:rsid w:val="00CC5886"/>
    <w:rsid w:val="00CC5951"/>
    <w:rsid w:val="00CC6EED"/>
    <w:rsid w:val="00CC7021"/>
    <w:rsid w:val="00CD028C"/>
    <w:rsid w:val="00CD07D8"/>
    <w:rsid w:val="00CD08E6"/>
    <w:rsid w:val="00CD12D9"/>
    <w:rsid w:val="00CD244A"/>
    <w:rsid w:val="00CD2940"/>
    <w:rsid w:val="00CD2D15"/>
    <w:rsid w:val="00CD3756"/>
    <w:rsid w:val="00CD45ED"/>
    <w:rsid w:val="00CD4668"/>
    <w:rsid w:val="00CD5323"/>
    <w:rsid w:val="00CD691C"/>
    <w:rsid w:val="00CD73CF"/>
    <w:rsid w:val="00CD7855"/>
    <w:rsid w:val="00CD7CEB"/>
    <w:rsid w:val="00CE0F82"/>
    <w:rsid w:val="00CE1421"/>
    <w:rsid w:val="00CE1968"/>
    <w:rsid w:val="00CE2048"/>
    <w:rsid w:val="00CE2220"/>
    <w:rsid w:val="00CE24C3"/>
    <w:rsid w:val="00CE25A1"/>
    <w:rsid w:val="00CE3BB2"/>
    <w:rsid w:val="00CE4576"/>
    <w:rsid w:val="00CE57F0"/>
    <w:rsid w:val="00CE6216"/>
    <w:rsid w:val="00CE641B"/>
    <w:rsid w:val="00CE680C"/>
    <w:rsid w:val="00CE7397"/>
    <w:rsid w:val="00CE76C8"/>
    <w:rsid w:val="00CE777D"/>
    <w:rsid w:val="00CE7D9F"/>
    <w:rsid w:val="00CF1733"/>
    <w:rsid w:val="00CF3AD7"/>
    <w:rsid w:val="00CF45B4"/>
    <w:rsid w:val="00CF481C"/>
    <w:rsid w:val="00CF501E"/>
    <w:rsid w:val="00CF5849"/>
    <w:rsid w:val="00CF64D4"/>
    <w:rsid w:val="00CF658F"/>
    <w:rsid w:val="00CF78F2"/>
    <w:rsid w:val="00D0039A"/>
    <w:rsid w:val="00D018FA"/>
    <w:rsid w:val="00D035F1"/>
    <w:rsid w:val="00D04CA8"/>
    <w:rsid w:val="00D0614D"/>
    <w:rsid w:val="00D0760F"/>
    <w:rsid w:val="00D07766"/>
    <w:rsid w:val="00D07AD6"/>
    <w:rsid w:val="00D07D39"/>
    <w:rsid w:val="00D1079F"/>
    <w:rsid w:val="00D113BA"/>
    <w:rsid w:val="00D11D33"/>
    <w:rsid w:val="00D12588"/>
    <w:rsid w:val="00D13F93"/>
    <w:rsid w:val="00D14215"/>
    <w:rsid w:val="00D14478"/>
    <w:rsid w:val="00D14814"/>
    <w:rsid w:val="00D152C9"/>
    <w:rsid w:val="00D16966"/>
    <w:rsid w:val="00D16B41"/>
    <w:rsid w:val="00D16BB6"/>
    <w:rsid w:val="00D16F72"/>
    <w:rsid w:val="00D173F7"/>
    <w:rsid w:val="00D222FC"/>
    <w:rsid w:val="00D2241B"/>
    <w:rsid w:val="00D22801"/>
    <w:rsid w:val="00D22DD3"/>
    <w:rsid w:val="00D24A40"/>
    <w:rsid w:val="00D2555C"/>
    <w:rsid w:val="00D26007"/>
    <w:rsid w:val="00D26FC5"/>
    <w:rsid w:val="00D30319"/>
    <w:rsid w:val="00D3127D"/>
    <w:rsid w:val="00D31291"/>
    <w:rsid w:val="00D315D7"/>
    <w:rsid w:val="00D319EA"/>
    <w:rsid w:val="00D33792"/>
    <w:rsid w:val="00D33F43"/>
    <w:rsid w:val="00D3419E"/>
    <w:rsid w:val="00D350AA"/>
    <w:rsid w:val="00D3556E"/>
    <w:rsid w:val="00D35B92"/>
    <w:rsid w:val="00D35E84"/>
    <w:rsid w:val="00D36A0A"/>
    <w:rsid w:val="00D36E9C"/>
    <w:rsid w:val="00D37281"/>
    <w:rsid w:val="00D3776F"/>
    <w:rsid w:val="00D37CE1"/>
    <w:rsid w:val="00D403CA"/>
    <w:rsid w:val="00D4168C"/>
    <w:rsid w:val="00D41852"/>
    <w:rsid w:val="00D41F9A"/>
    <w:rsid w:val="00D42300"/>
    <w:rsid w:val="00D42E8F"/>
    <w:rsid w:val="00D434AF"/>
    <w:rsid w:val="00D439AB"/>
    <w:rsid w:val="00D43D2E"/>
    <w:rsid w:val="00D444EF"/>
    <w:rsid w:val="00D4483D"/>
    <w:rsid w:val="00D44B72"/>
    <w:rsid w:val="00D45258"/>
    <w:rsid w:val="00D45578"/>
    <w:rsid w:val="00D458C3"/>
    <w:rsid w:val="00D460E9"/>
    <w:rsid w:val="00D462DC"/>
    <w:rsid w:val="00D47417"/>
    <w:rsid w:val="00D5189D"/>
    <w:rsid w:val="00D519A0"/>
    <w:rsid w:val="00D51B13"/>
    <w:rsid w:val="00D5252A"/>
    <w:rsid w:val="00D52613"/>
    <w:rsid w:val="00D52F9A"/>
    <w:rsid w:val="00D530C9"/>
    <w:rsid w:val="00D53760"/>
    <w:rsid w:val="00D53E93"/>
    <w:rsid w:val="00D551AB"/>
    <w:rsid w:val="00D556C1"/>
    <w:rsid w:val="00D55E8C"/>
    <w:rsid w:val="00D56007"/>
    <w:rsid w:val="00D5600F"/>
    <w:rsid w:val="00D57280"/>
    <w:rsid w:val="00D57E09"/>
    <w:rsid w:val="00D60351"/>
    <w:rsid w:val="00D6119C"/>
    <w:rsid w:val="00D612EB"/>
    <w:rsid w:val="00D6133C"/>
    <w:rsid w:val="00D6241F"/>
    <w:rsid w:val="00D62CF2"/>
    <w:rsid w:val="00D63D39"/>
    <w:rsid w:val="00D644F9"/>
    <w:rsid w:val="00D65428"/>
    <w:rsid w:val="00D66AA9"/>
    <w:rsid w:val="00D67065"/>
    <w:rsid w:val="00D67379"/>
    <w:rsid w:val="00D67FDD"/>
    <w:rsid w:val="00D702DB"/>
    <w:rsid w:val="00D70FC9"/>
    <w:rsid w:val="00D71B2E"/>
    <w:rsid w:val="00D72B2C"/>
    <w:rsid w:val="00D737E5"/>
    <w:rsid w:val="00D743AF"/>
    <w:rsid w:val="00D74BEB"/>
    <w:rsid w:val="00D74DBD"/>
    <w:rsid w:val="00D77037"/>
    <w:rsid w:val="00D8016D"/>
    <w:rsid w:val="00D804A8"/>
    <w:rsid w:val="00D807E3"/>
    <w:rsid w:val="00D824ED"/>
    <w:rsid w:val="00D82C5F"/>
    <w:rsid w:val="00D83EAD"/>
    <w:rsid w:val="00D83EEB"/>
    <w:rsid w:val="00D84291"/>
    <w:rsid w:val="00D846B4"/>
    <w:rsid w:val="00D8533F"/>
    <w:rsid w:val="00D85BF0"/>
    <w:rsid w:val="00D86D75"/>
    <w:rsid w:val="00D86DF9"/>
    <w:rsid w:val="00D90720"/>
    <w:rsid w:val="00D92221"/>
    <w:rsid w:val="00D92D35"/>
    <w:rsid w:val="00D9310C"/>
    <w:rsid w:val="00D9335A"/>
    <w:rsid w:val="00D9380A"/>
    <w:rsid w:val="00D93AC3"/>
    <w:rsid w:val="00D947A6"/>
    <w:rsid w:val="00D952DF"/>
    <w:rsid w:val="00D955D1"/>
    <w:rsid w:val="00D95D9D"/>
    <w:rsid w:val="00D96051"/>
    <w:rsid w:val="00D97DC5"/>
    <w:rsid w:val="00DA0428"/>
    <w:rsid w:val="00DA0640"/>
    <w:rsid w:val="00DA2339"/>
    <w:rsid w:val="00DA2C9B"/>
    <w:rsid w:val="00DA36C6"/>
    <w:rsid w:val="00DA44AB"/>
    <w:rsid w:val="00DA4621"/>
    <w:rsid w:val="00DA4E1F"/>
    <w:rsid w:val="00DA6C54"/>
    <w:rsid w:val="00DA6C9B"/>
    <w:rsid w:val="00DA7178"/>
    <w:rsid w:val="00DA7194"/>
    <w:rsid w:val="00DA71EC"/>
    <w:rsid w:val="00DA7B4C"/>
    <w:rsid w:val="00DB049E"/>
    <w:rsid w:val="00DB0530"/>
    <w:rsid w:val="00DB0D37"/>
    <w:rsid w:val="00DB1146"/>
    <w:rsid w:val="00DB2E94"/>
    <w:rsid w:val="00DB49EC"/>
    <w:rsid w:val="00DB4B4C"/>
    <w:rsid w:val="00DB664C"/>
    <w:rsid w:val="00DB75BB"/>
    <w:rsid w:val="00DB7ED4"/>
    <w:rsid w:val="00DB7F37"/>
    <w:rsid w:val="00DC0DF1"/>
    <w:rsid w:val="00DC0FD2"/>
    <w:rsid w:val="00DC1090"/>
    <w:rsid w:val="00DC1C8D"/>
    <w:rsid w:val="00DC2EB3"/>
    <w:rsid w:val="00DC354E"/>
    <w:rsid w:val="00DC3C64"/>
    <w:rsid w:val="00DC475E"/>
    <w:rsid w:val="00DC485A"/>
    <w:rsid w:val="00DC48AE"/>
    <w:rsid w:val="00DC55F2"/>
    <w:rsid w:val="00DC6260"/>
    <w:rsid w:val="00DC708A"/>
    <w:rsid w:val="00DC79CD"/>
    <w:rsid w:val="00DD2CE9"/>
    <w:rsid w:val="00DD32AD"/>
    <w:rsid w:val="00DD3C6C"/>
    <w:rsid w:val="00DD4472"/>
    <w:rsid w:val="00DD450B"/>
    <w:rsid w:val="00DD4903"/>
    <w:rsid w:val="00DD4EDA"/>
    <w:rsid w:val="00DD5424"/>
    <w:rsid w:val="00DD6B7A"/>
    <w:rsid w:val="00DE3AC3"/>
    <w:rsid w:val="00DE46BD"/>
    <w:rsid w:val="00DE481C"/>
    <w:rsid w:val="00DE4BB3"/>
    <w:rsid w:val="00DE5318"/>
    <w:rsid w:val="00DE5B22"/>
    <w:rsid w:val="00DE6417"/>
    <w:rsid w:val="00DE70F3"/>
    <w:rsid w:val="00DF0BCB"/>
    <w:rsid w:val="00DF128F"/>
    <w:rsid w:val="00DF12E1"/>
    <w:rsid w:val="00DF171A"/>
    <w:rsid w:val="00DF1E7A"/>
    <w:rsid w:val="00DF237F"/>
    <w:rsid w:val="00DF23F3"/>
    <w:rsid w:val="00DF2AE6"/>
    <w:rsid w:val="00DF3C9B"/>
    <w:rsid w:val="00DF3E10"/>
    <w:rsid w:val="00DF4073"/>
    <w:rsid w:val="00DF4119"/>
    <w:rsid w:val="00DF4AB5"/>
    <w:rsid w:val="00DF4B15"/>
    <w:rsid w:val="00DF4C67"/>
    <w:rsid w:val="00DF4EE4"/>
    <w:rsid w:val="00DF5BC2"/>
    <w:rsid w:val="00DF6F53"/>
    <w:rsid w:val="00E001BA"/>
    <w:rsid w:val="00E008FF"/>
    <w:rsid w:val="00E01027"/>
    <w:rsid w:val="00E0110B"/>
    <w:rsid w:val="00E01378"/>
    <w:rsid w:val="00E018AA"/>
    <w:rsid w:val="00E02D1B"/>
    <w:rsid w:val="00E03B0F"/>
    <w:rsid w:val="00E04219"/>
    <w:rsid w:val="00E04382"/>
    <w:rsid w:val="00E04EEE"/>
    <w:rsid w:val="00E05AEE"/>
    <w:rsid w:val="00E05B9F"/>
    <w:rsid w:val="00E10542"/>
    <w:rsid w:val="00E11CBF"/>
    <w:rsid w:val="00E1313D"/>
    <w:rsid w:val="00E14B63"/>
    <w:rsid w:val="00E15401"/>
    <w:rsid w:val="00E154EE"/>
    <w:rsid w:val="00E15AF8"/>
    <w:rsid w:val="00E16A74"/>
    <w:rsid w:val="00E16E89"/>
    <w:rsid w:val="00E16ED9"/>
    <w:rsid w:val="00E17814"/>
    <w:rsid w:val="00E17B64"/>
    <w:rsid w:val="00E21085"/>
    <w:rsid w:val="00E218B0"/>
    <w:rsid w:val="00E21AAA"/>
    <w:rsid w:val="00E224D0"/>
    <w:rsid w:val="00E230CA"/>
    <w:rsid w:val="00E24FAE"/>
    <w:rsid w:val="00E26358"/>
    <w:rsid w:val="00E27D75"/>
    <w:rsid w:val="00E30593"/>
    <w:rsid w:val="00E310D7"/>
    <w:rsid w:val="00E31BD7"/>
    <w:rsid w:val="00E31E96"/>
    <w:rsid w:val="00E3270E"/>
    <w:rsid w:val="00E32D1D"/>
    <w:rsid w:val="00E33AF1"/>
    <w:rsid w:val="00E340C1"/>
    <w:rsid w:val="00E34391"/>
    <w:rsid w:val="00E34AA9"/>
    <w:rsid w:val="00E35D5E"/>
    <w:rsid w:val="00E36854"/>
    <w:rsid w:val="00E36AA1"/>
    <w:rsid w:val="00E36EFB"/>
    <w:rsid w:val="00E37BE6"/>
    <w:rsid w:val="00E401DD"/>
    <w:rsid w:val="00E40CF9"/>
    <w:rsid w:val="00E41A0F"/>
    <w:rsid w:val="00E42431"/>
    <w:rsid w:val="00E4287F"/>
    <w:rsid w:val="00E428BD"/>
    <w:rsid w:val="00E4386C"/>
    <w:rsid w:val="00E44134"/>
    <w:rsid w:val="00E508B3"/>
    <w:rsid w:val="00E5198B"/>
    <w:rsid w:val="00E52D85"/>
    <w:rsid w:val="00E538EE"/>
    <w:rsid w:val="00E53A5A"/>
    <w:rsid w:val="00E53B53"/>
    <w:rsid w:val="00E53FF7"/>
    <w:rsid w:val="00E54050"/>
    <w:rsid w:val="00E541C4"/>
    <w:rsid w:val="00E5445D"/>
    <w:rsid w:val="00E5537A"/>
    <w:rsid w:val="00E57BD9"/>
    <w:rsid w:val="00E616E5"/>
    <w:rsid w:val="00E63D37"/>
    <w:rsid w:val="00E647E0"/>
    <w:rsid w:val="00E64C7C"/>
    <w:rsid w:val="00E66863"/>
    <w:rsid w:val="00E67212"/>
    <w:rsid w:val="00E674D8"/>
    <w:rsid w:val="00E70148"/>
    <w:rsid w:val="00E709C0"/>
    <w:rsid w:val="00E7217B"/>
    <w:rsid w:val="00E74097"/>
    <w:rsid w:val="00E7457E"/>
    <w:rsid w:val="00E76AC4"/>
    <w:rsid w:val="00E77A95"/>
    <w:rsid w:val="00E77BA5"/>
    <w:rsid w:val="00E8147E"/>
    <w:rsid w:val="00E82A57"/>
    <w:rsid w:val="00E83590"/>
    <w:rsid w:val="00E83976"/>
    <w:rsid w:val="00E83E2E"/>
    <w:rsid w:val="00E83F2B"/>
    <w:rsid w:val="00E84B76"/>
    <w:rsid w:val="00E84EA4"/>
    <w:rsid w:val="00E85476"/>
    <w:rsid w:val="00E857A5"/>
    <w:rsid w:val="00E857D1"/>
    <w:rsid w:val="00E86963"/>
    <w:rsid w:val="00E87359"/>
    <w:rsid w:val="00E87398"/>
    <w:rsid w:val="00E87905"/>
    <w:rsid w:val="00E87AC0"/>
    <w:rsid w:val="00E9099A"/>
    <w:rsid w:val="00E9169B"/>
    <w:rsid w:val="00E91CC1"/>
    <w:rsid w:val="00E92D2D"/>
    <w:rsid w:val="00E93430"/>
    <w:rsid w:val="00E94164"/>
    <w:rsid w:val="00E96C44"/>
    <w:rsid w:val="00E97CC8"/>
    <w:rsid w:val="00EA0670"/>
    <w:rsid w:val="00EA1557"/>
    <w:rsid w:val="00EA17FB"/>
    <w:rsid w:val="00EA2ADC"/>
    <w:rsid w:val="00EA2F9F"/>
    <w:rsid w:val="00EA3908"/>
    <w:rsid w:val="00EA39CF"/>
    <w:rsid w:val="00EA39F6"/>
    <w:rsid w:val="00EA3FED"/>
    <w:rsid w:val="00EA44A2"/>
    <w:rsid w:val="00EA46F4"/>
    <w:rsid w:val="00EA4808"/>
    <w:rsid w:val="00EA4E2C"/>
    <w:rsid w:val="00EA62F6"/>
    <w:rsid w:val="00EA644D"/>
    <w:rsid w:val="00EA7E60"/>
    <w:rsid w:val="00EB0D11"/>
    <w:rsid w:val="00EB26FE"/>
    <w:rsid w:val="00EB3519"/>
    <w:rsid w:val="00EB3A5A"/>
    <w:rsid w:val="00EB573A"/>
    <w:rsid w:val="00EB58C7"/>
    <w:rsid w:val="00EB64B6"/>
    <w:rsid w:val="00EB6652"/>
    <w:rsid w:val="00EC03B3"/>
    <w:rsid w:val="00EC165A"/>
    <w:rsid w:val="00EC1D30"/>
    <w:rsid w:val="00EC315A"/>
    <w:rsid w:val="00EC3356"/>
    <w:rsid w:val="00EC3E64"/>
    <w:rsid w:val="00EC3F07"/>
    <w:rsid w:val="00EC4A35"/>
    <w:rsid w:val="00EC637C"/>
    <w:rsid w:val="00EC6767"/>
    <w:rsid w:val="00EC6C46"/>
    <w:rsid w:val="00EC7684"/>
    <w:rsid w:val="00ED09D0"/>
    <w:rsid w:val="00ED0EC3"/>
    <w:rsid w:val="00ED1222"/>
    <w:rsid w:val="00ED127B"/>
    <w:rsid w:val="00ED1303"/>
    <w:rsid w:val="00ED1520"/>
    <w:rsid w:val="00ED185B"/>
    <w:rsid w:val="00ED23C6"/>
    <w:rsid w:val="00ED249F"/>
    <w:rsid w:val="00ED2FB1"/>
    <w:rsid w:val="00ED44A4"/>
    <w:rsid w:val="00ED46B5"/>
    <w:rsid w:val="00ED55F5"/>
    <w:rsid w:val="00ED56F9"/>
    <w:rsid w:val="00ED61EC"/>
    <w:rsid w:val="00ED6B74"/>
    <w:rsid w:val="00ED76BA"/>
    <w:rsid w:val="00ED7F0D"/>
    <w:rsid w:val="00EE0E72"/>
    <w:rsid w:val="00EE2EA0"/>
    <w:rsid w:val="00EE39C2"/>
    <w:rsid w:val="00EE4244"/>
    <w:rsid w:val="00EE4BB1"/>
    <w:rsid w:val="00EE7D00"/>
    <w:rsid w:val="00EF0A06"/>
    <w:rsid w:val="00EF0AB9"/>
    <w:rsid w:val="00EF21C1"/>
    <w:rsid w:val="00EF2876"/>
    <w:rsid w:val="00EF2AD7"/>
    <w:rsid w:val="00EF2BBE"/>
    <w:rsid w:val="00EF3412"/>
    <w:rsid w:val="00EF4FF1"/>
    <w:rsid w:val="00EF621D"/>
    <w:rsid w:val="00EF6899"/>
    <w:rsid w:val="00EF6A30"/>
    <w:rsid w:val="00F01352"/>
    <w:rsid w:val="00F01815"/>
    <w:rsid w:val="00F01DBC"/>
    <w:rsid w:val="00F021FF"/>
    <w:rsid w:val="00F02468"/>
    <w:rsid w:val="00F025B2"/>
    <w:rsid w:val="00F03339"/>
    <w:rsid w:val="00F039B5"/>
    <w:rsid w:val="00F03C55"/>
    <w:rsid w:val="00F043D9"/>
    <w:rsid w:val="00F053B9"/>
    <w:rsid w:val="00F059D4"/>
    <w:rsid w:val="00F060EE"/>
    <w:rsid w:val="00F06E55"/>
    <w:rsid w:val="00F105AE"/>
    <w:rsid w:val="00F11C98"/>
    <w:rsid w:val="00F1274E"/>
    <w:rsid w:val="00F12CE8"/>
    <w:rsid w:val="00F142E7"/>
    <w:rsid w:val="00F14F43"/>
    <w:rsid w:val="00F15204"/>
    <w:rsid w:val="00F15F0D"/>
    <w:rsid w:val="00F20012"/>
    <w:rsid w:val="00F203CA"/>
    <w:rsid w:val="00F2086B"/>
    <w:rsid w:val="00F208D9"/>
    <w:rsid w:val="00F21837"/>
    <w:rsid w:val="00F21B6F"/>
    <w:rsid w:val="00F21F70"/>
    <w:rsid w:val="00F240D5"/>
    <w:rsid w:val="00F24E60"/>
    <w:rsid w:val="00F256D3"/>
    <w:rsid w:val="00F262CA"/>
    <w:rsid w:val="00F26580"/>
    <w:rsid w:val="00F277B9"/>
    <w:rsid w:val="00F30C40"/>
    <w:rsid w:val="00F30E84"/>
    <w:rsid w:val="00F311E3"/>
    <w:rsid w:val="00F3172E"/>
    <w:rsid w:val="00F31A46"/>
    <w:rsid w:val="00F32D6F"/>
    <w:rsid w:val="00F32E12"/>
    <w:rsid w:val="00F33A0D"/>
    <w:rsid w:val="00F33A9F"/>
    <w:rsid w:val="00F33C05"/>
    <w:rsid w:val="00F34D2F"/>
    <w:rsid w:val="00F34E6D"/>
    <w:rsid w:val="00F35068"/>
    <w:rsid w:val="00F35885"/>
    <w:rsid w:val="00F366D4"/>
    <w:rsid w:val="00F418CA"/>
    <w:rsid w:val="00F42011"/>
    <w:rsid w:val="00F42013"/>
    <w:rsid w:val="00F4208F"/>
    <w:rsid w:val="00F4284F"/>
    <w:rsid w:val="00F429E7"/>
    <w:rsid w:val="00F42ADE"/>
    <w:rsid w:val="00F44D78"/>
    <w:rsid w:val="00F457CC"/>
    <w:rsid w:val="00F46B8C"/>
    <w:rsid w:val="00F47B94"/>
    <w:rsid w:val="00F50657"/>
    <w:rsid w:val="00F51EA2"/>
    <w:rsid w:val="00F524BA"/>
    <w:rsid w:val="00F53006"/>
    <w:rsid w:val="00F55414"/>
    <w:rsid w:val="00F558F3"/>
    <w:rsid w:val="00F56532"/>
    <w:rsid w:val="00F56F81"/>
    <w:rsid w:val="00F57442"/>
    <w:rsid w:val="00F574F6"/>
    <w:rsid w:val="00F57CAA"/>
    <w:rsid w:val="00F57E2D"/>
    <w:rsid w:val="00F61255"/>
    <w:rsid w:val="00F616F3"/>
    <w:rsid w:val="00F6217F"/>
    <w:rsid w:val="00F6299F"/>
    <w:rsid w:val="00F63623"/>
    <w:rsid w:val="00F63E3F"/>
    <w:rsid w:val="00F647D5"/>
    <w:rsid w:val="00F64D2E"/>
    <w:rsid w:val="00F66742"/>
    <w:rsid w:val="00F66C8E"/>
    <w:rsid w:val="00F66EDE"/>
    <w:rsid w:val="00F67581"/>
    <w:rsid w:val="00F675F0"/>
    <w:rsid w:val="00F676BE"/>
    <w:rsid w:val="00F67F9B"/>
    <w:rsid w:val="00F70396"/>
    <w:rsid w:val="00F70AD1"/>
    <w:rsid w:val="00F718E7"/>
    <w:rsid w:val="00F71E40"/>
    <w:rsid w:val="00F72064"/>
    <w:rsid w:val="00F720A3"/>
    <w:rsid w:val="00F72632"/>
    <w:rsid w:val="00F72CFF"/>
    <w:rsid w:val="00F72E35"/>
    <w:rsid w:val="00F73295"/>
    <w:rsid w:val="00F73B8B"/>
    <w:rsid w:val="00F75635"/>
    <w:rsid w:val="00F75E50"/>
    <w:rsid w:val="00F763AE"/>
    <w:rsid w:val="00F7681A"/>
    <w:rsid w:val="00F76D3C"/>
    <w:rsid w:val="00F77395"/>
    <w:rsid w:val="00F77596"/>
    <w:rsid w:val="00F775CB"/>
    <w:rsid w:val="00F7778D"/>
    <w:rsid w:val="00F80C9A"/>
    <w:rsid w:val="00F80CBE"/>
    <w:rsid w:val="00F82818"/>
    <w:rsid w:val="00F830AD"/>
    <w:rsid w:val="00F83AF6"/>
    <w:rsid w:val="00F854C1"/>
    <w:rsid w:val="00F86690"/>
    <w:rsid w:val="00F86761"/>
    <w:rsid w:val="00F86BEB"/>
    <w:rsid w:val="00F87862"/>
    <w:rsid w:val="00F90A1E"/>
    <w:rsid w:val="00F90C80"/>
    <w:rsid w:val="00F918E3"/>
    <w:rsid w:val="00F92282"/>
    <w:rsid w:val="00F92358"/>
    <w:rsid w:val="00F9277D"/>
    <w:rsid w:val="00F92A57"/>
    <w:rsid w:val="00F931A0"/>
    <w:rsid w:val="00F93B73"/>
    <w:rsid w:val="00F94447"/>
    <w:rsid w:val="00F944C6"/>
    <w:rsid w:val="00F94BDC"/>
    <w:rsid w:val="00F95A2B"/>
    <w:rsid w:val="00F96A81"/>
    <w:rsid w:val="00F96D8A"/>
    <w:rsid w:val="00F96DC0"/>
    <w:rsid w:val="00F97157"/>
    <w:rsid w:val="00FA06CA"/>
    <w:rsid w:val="00FA092A"/>
    <w:rsid w:val="00FA0E9D"/>
    <w:rsid w:val="00FA1748"/>
    <w:rsid w:val="00FA1A00"/>
    <w:rsid w:val="00FA1A1F"/>
    <w:rsid w:val="00FA1C15"/>
    <w:rsid w:val="00FA208F"/>
    <w:rsid w:val="00FA320E"/>
    <w:rsid w:val="00FA5487"/>
    <w:rsid w:val="00FA6ECA"/>
    <w:rsid w:val="00FA6F30"/>
    <w:rsid w:val="00FB0722"/>
    <w:rsid w:val="00FB13E7"/>
    <w:rsid w:val="00FB1753"/>
    <w:rsid w:val="00FB1ABE"/>
    <w:rsid w:val="00FB26E7"/>
    <w:rsid w:val="00FB2DD5"/>
    <w:rsid w:val="00FB307F"/>
    <w:rsid w:val="00FB40B3"/>
    <w:rsid w:val="00FB4486"/>
    <w:rsid w:val="00FB59C6"/>
    <w:rsid w:val="00FB5D79"/>
    <w:rsid w:val="00FB5E76"/>
    <w:rsid w:val="00FB6B08"/>
    <w:rsid w:val="00FB6E1D"/>
    <w:rsid w:val="00FB73DB"/>
    <w:rsid w:val="00FB7656"/>
    <w:rsid w:val="00FC0CF2"/>
    <w:rsid w:val="00FC150B"/>
    <w:rsid w:val="00FC1A61"/>
    <w:rsid w:val="00FC25F4"/>
    <w:rsid w:val="00FC2F46"/>
    <w:rsid w:val="00FC30B4"/>
    <w:rsid w:val="00FC337C"/>
    <w:rsid w:val="00FC3A60"/>
    <w:rsid w:val="00FC3B6F"/>
    <w:rsid w:val="00FC3E88"/>
    <w:rsid w:val="00FC4312"/>
    <w:rsid w:val="00FC4BFC"/>
    <w:rsid w:val="00FC55F2"/>
    <w:rsid w:val="00FC5DB2"/>
    <w:rsid w:val="00FC6FCE"/>
    <w:rsid w:val="00FC730F"/>
    <w:rsid w:val="00FD1766"/>
    <w:rsid w:val="00FD1D4A"/>
    <w:rsid w:val="00FD27FC"/>
    <w:rsid w:val="00FD2A90"/>
    <w:rsid w:val="00FD2B80"/>
    <w:rsid w:val="00FD36A0"/>
    <w:rsid w:val="00FD36F5"/>
    <w:rsid w:val="00FD3DDC"/>
    <w:rsid w:val="00FD3EB8"/>
    <w:rsid w:val="00FD60F1"/>
    <w:rsid w:val="00FD6BCA"/>
    <w:rsid w:val="00FD7AF1"/>
    <w:rsid w:val="00FE0C0E"/>
    <w:rsid w:val="00FE2980"/>
    <w:rsid w:val="00FE4E09"/>
    <w:rsid w:val="00FE5BE3"/>
    <w:rsid w:val="00FE5C18"/>
    <w:rsid w:val="00FE6D42"/>
    <w:rsid w:val="00FE7E7F"/>
    <w:rsid w:val="00FE7ED4"/>
    <w:rsid w:val="00FF2D96"/>
    <w:rsid w:val="00FF38EC"/>
    <w:rsid w:val="00FF392C"/>
    <w:rsid w:val="00FF5143"/>
    <w:rsid w:val="00FF5442"/>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5:docId w15:val="{111AF6EE-A46D-46B4-9B5D-03BA4465A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MS Mincho"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7353E5"/>
    <w:pPr>
      <w:spacing w:before="200" w:after="200" w:line="276" w:lineRule="auto"/>
      <w:jc w:val="both"/>
    </w:pPr>
    <w:rPr>
      <w:spacing w:val="4"/>
      <w:sz w:val="22"/>
      <w:lang w:val="cs-CZ" w:bidi="en-US"/>
    </w:rPr>
  </w:style>
  <w:style w:type="paragraph" w:styleId="Nadpis1">
    <w:name w:val="heading 1"/>
    <w:aliases w:val="1_Nadpis 1,Nadpis 1Barča,kapitola"/>
    <w:basedOn w:val="Normln"/>
    <w:next w:val="Normln"/>
    <w:link w:val="Nadpis1Char"/>
    <w:qFormat/>
    <w:rsid w:val="00D74DBD"/>
    <w:pPr>
      <w:pBdr>
        <w:top w:val="single" w:sz="36" w:space="0" w:color="372C74"/>
        <w:left w:val="single" w:sz="36" w:space="4" w:color="372C74"/>
      </w:pBdr>
      <w:shd w:val="clear" w:color="auto" w:fill="FFFFFF"/>
      <w:spacing w:before="300" w:after="480"/>
      <w:outlineLvl w:val="0"/>
    </w:pPr>
    <w:rPr>
      <w:b/>
      <w:bCs/>
      <w:color w:val="372C74"/>
      <w:spacing w:val="20"/>
      <w:sz w:val="28"/>
      <w:szCs w:val="22"/>
    </w:rPr>
  </w:style>
  <w:style w:type="paragraph" w:styleId="Nadpis2">
    <w:name w:val="heading 2"/>
    <w:basedOn w:val="Normln"/>
    <w:next w:val="Normln"/>
    <w:link w:val="Nadpis2Char"/>
    <w:uiPriority w:val="9"/>
    <w:unhideWhenUsed/>
    <w:qFormat/>
    <w:rsid w:val="000412C2"/>
    <w:pPr>
      <w:pBdr>
        <w:top w:val="single" w:sz="18" w:space="0" w:color="D0CCEB"/>
        <w:left w:val="single" w:sz="18" w:space="0" w:color="D0CCEB"/>
      </w:pBdr>
      <w:shd w:val="clear" w:color="auto" w:fill="FFFFFF"/>
      <w:spacing w:before="300" w:after="300"/>
      <w:ind w:firstLine="57"/>
      <w:outlineLvl w:val="1"/>
    </w:pPr>
    <w:rPr>
      <w:b/>
      <w:color w:val="372C74"/>
      <w:spacing w:val="20"/>
      <w:sz w:val="26"/>
      <w:szCs w:val="22"/>
    </w:rPr>
  </w:style>
  <w:style w:type="paragraph" w:styleId="Nadpis3">
    <w:name w:val="heading 3"/>
    <w:basedOn w:val="Normln"/>
    <w:next w:val="Normln"/>
    <w:link w:val="Nadpis3Char"/>
    <w:unhideWhenUsed/>
    <w:qFormat/>
    <w:rsid w:val="000412C2"/>
    <w:pPr>
      <w:pBdr>
        <w:top w:val="single" w:sz="6" w:space="2" w:color="372C74"/>
        <w:left w:val="single" w:sz="6" w:space="2" w:color="372C74"/>
      </w:pBdr>
      <w:spacing w:before="240" w:after="240"/>
      <w:ind w:firstLine="57"/>
      <w:outlineLvl w:val="2"/>
    </w:pPr>
    <w:rPr>
      <w:color w:val="1B1639"/>
      <w:spacing w:val="15"/>
      <w:sz w:val="24"/>
      <w:szCs w:val="22"/>
    </w:rPr>
  </w:style>
  <w:style w:type="paragraph" w:styleId="Nadpis4">
    <w:name w:val="heading 4"/>
    <w:basedOn w:val="Normln"/>
    <w:next w:val="Normln"/>
    <w:link w:val="Nadpis4Char"/>
    <w:unhideWhenUsed/>
    <w:qFormat/>
    <w:rsid w:val="000412C2"/>
    <w:pPr>
      <w:pBdr>
        <w:top w:val="dotted" w:sz="6" w:space="2" w:color="372C74"/>
        <w:left w:val="dotted" w:sz="6" w:space="2" w:color="372C74"/>
      </w:pBdr>
      <w:spacing w:before="240" w:after="120"/>
      <w:ind w:firstLine="57"/>
      <w:outlineLvl w:val="3"/>
    </w:pPr>
    <w:rPr>
      <w:color w:val="282156"/>
      <w:spacing w:val="10"/>
      <w:sz w:val="24"/>
      <w:szCs w:val="22"/>
    </w:rPr>
  </w:style>
  <w:style w:type="paragraph" w:styleId="Nadpis5">
    <w:name w:val="heading 5"/>
    <w:basedOn w:val="Normln"/>
    <w:next w:val="Normln"/>
    <w:link w:val="Nadpis5Char"/>
    <w:uiPriority w:val="9"/>
    <w:unhideWhenUsed/>
    <w:qFormat/>
    <w:rsid w:val="00351AD0"/>
    <w:pPr>
      <w:pBdr>
        <w:bottom w:val="single" w:sz="6" w:space="1" w:color="372C74"/>
      </w:pBdr>
      <w:spacing w:before="240" w:after="120"/>
      <w:outlineLvl w:val="4"/>
    </w:pPr>
    <w:rPr>
      <w:color w:val="282156"/>
      <w:spacing w:val="10"/>
      <w:szCs w:val="22"/>
    </w:rPr>
  </w:style>
  <w:style w:type="paragraph" w:styleId="Nadpis6">
    <w:name w:val="heading 6"/>
    <w:basedOn w:val="Normln"/>
    <w:next w:val="Normln"/>
    <w:link w:val="Nadpis6Char"/>
    <w:unhideWhenUsed/>
    <w:qFormat/>
    <w:rsid w:val="00351AD0"/>
    <w:pPr>
      <w:pBdr>
        <w:bottom w:val="dotted" w:sz="6" w:space="1" w:color="372C74"/>
      </w:pBdr>
      <w:spacing w:before="300" w:after="0"/>
      <w:outlineLvl w:val="5"/>
    </w:pPr>
    <w:rPr>
      <w:color w:val="282156"/>
      <w:spacing w:val="10"/>
      <w:szCs w:val="22"/>
    </w:rPr>
  </w:style>
  <w:style w:type="paragraph" w:styleId="Nadpis7">
    <w:name w:val="heading 7"/>
    <w:basedOn w:val="Normln"/>
    <w:next w:val="Normln"/>
    <w:link w:val="Nadpis7Char"/>
    <w:unhideWhenUsed/>
    <w:qFormat/>
    <w:rsid w:val="004B6F15"/>
    <w:pPr>
      <w:spacing w:before="300" w:after="0"/>
      <w:outlineLvl w:val="6"/>
    </w:pPr>
    <w:rPr>
      <w:caps/>
      <w:color w:val="282156"/>
      <w:spacing w:val="10"/>
      <w:szCs w:val="22"/>
    </w:rPr>
  </w:style>
  <w:style w:type="paragraph" w:styleId="Nadpis8">
    <w:name w:val="heading 8"/>
    <w:basedOn w:val="Normln"/>
    <w:next w:val="Normln"/>
    <w:link w:val="Nadpis8Char"/>
    <w:unhideWhenUsed/>
    <w:qFormat/>
    <w:rsid w:val="004B6F15"/>
    <w:pPr>
      <w:spacing w:before="300" w:after="0"/>
      <w:outlineLvl w:val="7"/>
    </w:pPr>
    <w:rPr>
      <w:caps/>
      <w:spacing w:val="10"/>
      <w:sz w:val="18"/>
      <w:szCs w:val="18"/>
    </w:rPr>
  </w:style>
  <w:style w:type="paragraph" w:styleId="Nadpis9">
    <w:name w:val="heading 9"/>
    <w:basedOn w:val="Normln"/>
    <w:next w:val="Normln"/>
    <w:link w:val="Nadpis9Char"/>
    <w:unhideWhenUsed/>
    <w:qFormat/>
    <w:rsid w:val="004B6F15"/>
    <w:pPr>
      <w:spacing w:before="300" w:after="0"/>
      <w:outlineLvl w:val="8"/>
    </w:pPr>
    <w:rPr>
      <w:i/>
      <w:caps/>
      <w:spacing w:val="10"/>
      <w:sz w:val="18"/>
      <w:szCs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1_Nadpis 1 Char,Nadpis 1Barča Char,kapitola Char"/>
    <w:basedOn w:val="Standardnpsmoodstavce"/>
    <w:link w:val="Nadpis1"/>
    <w:uiPriority w:val="9"/>
    <w:rsid w:val="00D74DBD"/>
    <w:rPr>
      <w:rFonts w:ascii="Calibri" w:hAnsi="Calibri"/>
      <w:b/>
      <w:bCs/>
      <w:color w:val="372C74"/>
      <w:spacing w:val="20"/>
      <w:sz w:val="28"/>
      <w:shd w:val="clear" w:color="auto" w:fill="FFFFFF"/>
      <w:lang w:val="cs-CZ"/>
    </w:rPr>
  </w:style>
  <w:style w:type="character" w:customStyle="1" w:styleId="Nadpis2Char">
    <w:name w:val="Nadpis 2 Char"/>
    <w:basedOn w:val="Standardnpsmoodstavce"/>
    <w:link w:val="Nadpis2"/>
    <w:uiPriority w:val="9"/>
    <w:rsid w:val="000412C2"/>
    <w:rPr>
      <w:rFonts w:ascii="Calibri" w:hAnsi="Calibri"/>
      <w:b/>
      <w:color w:val="372C74"/>
      <w:spacing w:val="20"/>
      <w:sz w:val="26"/>
      <w:shd w:val="clear" w:color="auto" w:fill="FFFFFF"/>
      <w:lang w:val="cs-CZ"/>
    </w:rPr>
  </w:style>
  <w:style w:type="character" w:customStyle="1" w:styleId="Nadpis3Char">
    <w:name w:val="Nadpis 3 Char"/>
    <w:basedOn w:val="Standardnpsmoodstavce"/>
    <w:link w:val="Nadpis3"/>
    <w:rsid w:val="000412C2"/>
    <w:rPr>
      <w:rFonts w:ascii="Calibri" w:hAnsi="Calibri"/>
      <w:color w:val="1B1639"/>
      <w:spacing w:val="15"/>
      <w:sz w:val="24"/>
      <w:lang w:val="cs-CZ"/>
    </w:rPr>
  </w:style>
  <w:style w:type="character" w:customStyle="1" w:styleId="Nadpis4Char">
    <w:name w:val="Nadpis 4 Char"/>
    <w:basedOn w:val="Standardnpsmoodstavce"/>
    <w:link w:val="Nadpis4"/>
    <w:rsid w:val="000412C2"/>
    <w:rPr>
      <w:rFonts w:ascii="Calibri" w:hAnsi="Calibri"/>
      <w:color w:val="282156"/>
      <w:spacing w:val="10"/>
      <w:sz w:val="24"/>
      <w:lang w:val="cs-CZ"/>
    </w:rPr>
  </w:style>
  <w:style w:type="character" w:customStyle="1" w:styleId="Nadpis5Char">
    <w:name w:val="Nadpis 5 Char"/>
    <w:basedOn w:val="Standardnpsmoodstavce"/>
    <w:link w:val="Nadpis5"/>
    <w:uiPriority w:val="9"/>
    <w:rsid w:val="00351AD0"/>
    <w:rPr>
      <w:rFonts w:ascii="Calibri" w:hAnsi="Calibri"/>
      <w:color w:val="282156"/>
      <w:spacing w:val="10"/>
      <w:lang w:val="cs-CZ"/>
    </w:rPr>
  </w:style>
  <w:style w:type="character" w:customStyle="1" w:styleId="Nadpis6Char">
    <w:name w:val="Nadpis 6 Char"/>
    <w:basedOn w:val="Standardnpsmoodstavce"/>
    <w:link w:val="Nadpis6"/>
    <w:rsid w:val="00351AD0"/>
    <w:rPr>
      <w:rFonts w:ascii="Calibri" w:hAnsi="Calibri"/>
      <w:color w:val="282156"/>
      <w:spacing w:val="10"/>
      <w:lang w:val="cs-CZ"/>
    </w:rPr>
  </w:style>
  <w:style w:type="character" w:customStyle="1" w:styleId="Nadpis7Char">
    <w:name w:val="Nadpis 7 Char"/>
    <w:basedOn w:val="Standardnpsmoodstavce"/>
    <w:link w:val="Nadpis7"/>
    <w:uiPriority w:val="9"/>
    <w:rsid w:val="004B6F15"/>
    <w:rPr>
      <w:caps/>
      <w:color w:val="282156"/>
      <w:spacing w:val="10"/>
    </w:rPr>
  </w:style>
  <w:style w:type="character" w:customStyle="1" w:styleId="Nadpis8Char">
    <w:name w:val="Nadpis 8 Char"/>
    <w:basedOn w:val="Standardnpsmoodstavce"/>
    <w:link w:val="Nadpis8"/>
    <w:uiPriority w:val="9"/>
    <w:rsid w:val="004B6F15"/>
    <w:rPr>
      <w:caps/>
      <w:spacing w:val="10"/>
      <w:sz w:val="18"/>
      <w:szCs w:val="18"/>
    </w:rPr>
  </w:style>
  <w:style w:type="character" w:customStyle="1" w:styleId="Nadpis9Char">
    <w:name w:val="Nadpis 9 Char"/>
    <w:basedOn w:val="Standardnpsmoodstavce"/>
    <w:link w:val="Nadpis9"/>
    <w:uiPriority w:val="9"/>
    <w:semiHidden/>
    <w:rsid w:val="004B6F15"/>
    <w:rPr>
      <w:i/>
      <w:caps/>
      <w:spacing w:val="10"/>
      <w:sz w:val="18"/>
      <w:szCs w:val="18"/>
    </w:rPr>
  </w:style>
  <w:style w:type="paragraph" w:styleId="Titulek">
    <w:name w:val="caption"/>
    <w:basedOn w:val="Normln"/>
    <w:next w:val="Normln"/>
    <w:link w:val="TitulekChar"/>
    <w:unhideWhenUsed/>
    <w:qFormat/>
    <w:rsid w:val="00212850"/>
    <w:pPr>
      <w:spacing w:after="40"/>
      <w:jc w:val="left"/>
    </w:pPr>
    <w:rPr>
      <w:b/>
      <w:bCs/>
      <w:color w:val="372C74"/>
      <w:spacing w:val="10"/>
      <w:sz w:val="18"/>
      <w:szCs w:val="16"/>
    </w:rPr>
  </w:style>
  <w:style w:type="paragraph" w:styleId="Nzev">
    <w:name w:val="Title"/>
    <w:aliases w:val="Název části"/>
    <w:basedOn w:val="Normln"/>
    <w:next w:val="Normln"/>
    <w:link w:val="NzevChar"/>
    <w:qFormat/>
    <w:rsid w:val="00970DC9"/>
    <w:pPr>
      <w:jc w:val="left"/>
      <w:outlineLvl w:val="0"/>
    </w:pPr>
    <w:rPr>
      <w:color w:val="372C74"/>
      <w:spacing w:val="10"/>
      <w:kern w:val="28"/>
      <w:sz w:val="36"/>
      <w:szCs w:val="52"/>
    </w:rPr>
  </w:style>
  <w:style w:type="character" w:customStyle="1" w:styleId="NzevChar">
    <w:name w:val="Název Char"/>
    <w:aliases w:val="Název části Char"/>
    <w:basedOn w:val="Standardnpsmoodstavce"/>
    <w:link w:val="Nzev"/>
    <w:rsid w:val="00970DC9"/>
    <w:rPr>
      <w:rFonts w:ascii="Calibri" w:hAnsi="Calibri"/>
      <w:color w:val="372C74"/>
      <w:spacing w:val="10"/>
      <w:kern w:val="28"/>
      <w:sz w:val="36"/>
      <w:szCs w:val="52"/>
      <w:lang w:val="cs-CZ"/>
    </w:rPr>
  </w:style>
  <w:style w:type="paragraph" w:styleId="Podtitul">
    <w:name w:val="Subtitle"/>
    <w:basedOn w:val="Normln"/>
    <w:next w:val="Normln"/>
    <w:link w:val="PodtitulChar"/>
    <w:uiPriority w:val="11"/>
    <w:qFormat/>
    <w:rsid w:val="003F20C0"/>
    <w:pPr>
      <w:spacing w:after="1000" w:line="240" w:lineRule="auto"/>
      <w:jc w:val="center"/>
    </w:pPr>
    <w:rPr>
      <w:caps/>
      <w:color w:val="595959"/>
      <w:spacing w:val="10"/>
      <w:sz w:val="24"/>
      <w:szCs w:val="24"/>
    </w:rPr>
  </w:style>
  <w:style w:type="character" w:customStyle="1" w:styleId="PodtitulChar">
    <w:name w:val="Podtitul Char"/>
    <w:basedOn w:val="Standardnpsmoodstavce"/>
    <w:link w:val="Podtitul"/>
    <w:uiPriority w:val="11"/>
    <w:rsid w:val="003F20C0"/>
    <w:rPr>
      <w:rFonts w:ascii="Calibri" w:hAnsi="Calibri"/>
      <w:caps/>
      <w:color w:val="595959"/>
      <w:spacing w:val="10"/>
      <w:sz w:val="24"/>
      <w:szCs w:val="24"/>
      <w:lang w:val="cs-CZ"/>
    </w:rPr>
  </w:style>
  <w:style w:type="character" w:styleId="Siln">
    <w:name w:val="Strong"/>
    <w:uiPriority w:val="22"/>
    <w:qFormat/>
    <w:rsid w:val="00DF1E7A"/>
    <w:rPr>
      <w:rFonts w:ascii="Calibri" w:hAnsi="Calibri"/>
      <w:b/>
      <w:bCs/>
      <w:sz w:val="22"/>
    </w:rPr>
  </w:style>
  <w:style w:type="character" w:styleId="Zdraznn">
    <w:name w:val="Emphasis"/>
    <w:uiPriority w:val="20"/>
    <w:qFormat/>
    <w:rsid w:val="00DF1E7A"/>
    <w:rPr>
      <w:rFonts w:ascii="Calibri" w:hAnsi="Calibri"/>
      <w:caps/>
      <w:color w:val="372C74"/>
      <w:spacing w:val="5"/>
      <w:sz w:val="22"/>
    </w:rPr>
  </w:style>
  <w:style w:type="paragraph" w:styleId="Bezmezer">
    <w:name w:val="No Spacing"/>
    <w:basedOn w:val="Normln"/>
    <w:link w:val="BezmezerChar"/>
    <w:uiPriority w:val="1"/>
    <w:qFormat/>
    <w:rsid w:val="00C738F4"/>
    <w:pPr>
      <w:spacing w:before="0" w:after="0" w:line="240" w:lineRule="auto"/>
    </w:pPr>
  </w:style>
  <w:style w:type="character" w:customStyle="1" w:styleId="BezmezerChar">
    <w:name w:val="Bez mezer Char"/>
    <w:basedOn w:val="Standardnpsmoodstavce"/>
    <w:link w:val="Bezmezer"/>
    <w:uiPriority w:val="1"/>
    <w:rsid w:val="00C738F4"/>
    <w:rPr>
      <w:spacing w:val="6"/>
      <w:szCs w:val="20"/>
      <w:lang w:val="cs-CZ"/>
    </w:rPr>
  </w:style>
  <w:style w:type="paragraph" w:styleId="Odstavecseseznamem">
    <w:name w:val="List Paragraph"/>
    <w:basedOn w:val="Normln"/>
    <w:link w:val="OdstavecseseznamemChar"/>
    <w:qFormat/>
    <w:rsid w:val="004B6F15"/>
    <w:pPr>
      <w:ind w:left="720"/>
      <w:contextualSpacing/>
    </w:pPr>
  </w:style>
  <w:style w:type="paragraph" w:styleId="Citt">
    <w:name w:val="Quote"/>
    <w:basedOn w:val="Normln"/>
    <w:next w:val="Normln"/>
    <w:link w:val="CittChar"/>
    <w:uiPriority w:val="29"/>
    <w:qFormat/>
    <w:rsid w:val="004B6F15"/>
    <w:rPr>
      <w:i/>
      <w:iCs/>
    </w:rPr>
  </w:style>
  <w:style w:type="character" w:customStyle="1" w:styleId="CittChar">
    <w:name w:val="Citát Char"/>
    <w:basedOn w:val="Standardnpsmoodstavce"/>
    <w:link w:val="Citt"/>
    <w:uiPriority w:val="29"/>
    <w:rsid w:val="004B6F15"/>
    <w:rPr>
      <w:i/>
      <w:iCs/>
      <w:sz w:val="20"/>
      <w:szCs w:val="20"/>
    </w:rPr>
  </w:style>
  <w:style w:type="paragraph" w:styleId="Vrazncitt">
    <w:name w:val="Intense Quote"/>
    <w:basedOn w:val="Normln"/>
    <w:next w:val="Normln"/>
    <w:link w:val="VrazncittChar"/>
    <w:uiPriority w:val="30"/>
    <w:qFormat/>
    <w:rsid w:val="00296639"/>
    <w:pPr>
      <w:pBdr>
        <w:top w:val="single" w:sz="4" w:space="10" w:color="372C74"/>
        <w:left w:val="single" w:sz="4" w:space="10" w:color="372C74"/>
      </w:pBdr>
      <w:spacing w:after="0"/>
      <w:ind w:left="1296" w:right="1152"/>
    </w:pPr>
    <w:rPr>
      <w:i/>
      <w:iCs/>
      <w:color w:val="372C74"/>
    </w:rPr>
  </w:style>
  <w:style w:type="character" w:customStyle="1" w:styleId="VrazncittChar">
    <w:name w:val="Výrazný citát Char"/>
    <w:basedOn w:val="Standardnpsmoodstavce"/>
    <w:link w:val="Vrazncitt"/>
    <w:uiPriority w:val="30"/>
    <w:rsid w:val="00296639"/>
    <w:rPr>
      <w:i/>
      <w:iCs/>
      <w:color w:val="372C74"/>
      <w:spacing w:val="6"/>
      <w:szCs w:val="20"/>
      <w:lang w:val="cs-CZ"/>
    </w:rPr>
  </w:style>
  <w:style w:type="character" w:styleId="Zdraznnjemn">
    <w:name w:val="Subtle Emphasis"/>
    <w:uiPriority w:val="19"/>
    <w:qFormat/>
    <w:rsid w:val="00DF1E7A"/>
    <w:rPr>
      <w:rFonts w:ascii="Calibri" w:hAnsi="Calibri"/>
      <w:i/>
      <w:iCs/>
      <w:color w:val="372C74"/>
      <w:sz w:val="22"/>
    </w:rPr>
  </w:style>
  <w:style w:type="character" w:styleId="Zdraznnintenzivn">
    <w:name w:val="Intense Emphasis"/>
    <w:uiPriority w:val="21"/>
    <w:qFormat/>
    <w:rsid w:val="00DF1E7A"/>
    <w:rPr>
      <w:rFonts w:ascii="Calibri" w:hAnsi="Calibri"/>
      <w:b/>
      <w:bCs/>
      <w:color w:val="372C74"/>
      <w:spacing w:val="6"/>
      <w:sz w:val="22"/>
    </w:rPr>
  </w:style>
  <w:style w:type="character" w:styleId="Odkazjemn">
    <w:name w:val="Subtle Reference"/>
    <w:uiPriority w:val="31"/>
    <w:qFormat/>
    <w:rsid w:val="00DF1E7A"/>
    <w:rPr>
      <w:rFonts w:ascii="Calibri" w:hAnsi="Calibri"/>
      <w:b/>
      <w:bCs/>
      <w:color w:val="372C74"/>
      <w:sz w:val="22"/>
    </w:rPr>
  </w:style>
  <w:style w:type="character" w:styleId="Odkazintenzivn">
    <w:name w:val="Intense Reference"/>
    <w:uiPriority w:val="32"/>
    <w:qFormat/>
    <w:rsid w:val="00DF1E7A"/>
    <w:rPr>
      <w:rFonts w:ascii="Calibri" w:hAnsi="Calibri"/>
      <w:b/>
      <w:bCs/>
      <w:i/>
      <w:iCs/>
      <w:caps/>
      <w:color w:val="372C74"/>
      <w:sz w:val="22"/>
    </w:rPr>
  </w:style>
  <w:style w:type="character" w:styleId="Nzevknihy">
    <w:name w:val="Book Title"/>
    <w:uiPriority w:val="33"/>
    <w:rsid w:val="004B6F15"/>
    <w:rPr>
      <w:b/>
      <w:bCs/>
      <w:i/>
      <w:iCs/>
      <w:spacing w:val="9"/>
    </w:rPr>
  </w:style>
  <w:style w:type="paragraph" w:styleId="Nadpisobsahu">
    <w:name w:val="TOC Heading"/>
    <w:basedOn w:val="Nadpis1"/>
    <w:next w:val="Normln"/>
    <w:uiPriority w:val="39"/>
    <w:semiHidden/>
    <w:unhideWhenUsed/>
    <w:qFormat/>
    <w:rsid w:val="004B6F15"/>
    <w:pPr>
      <w:outlineLvl w:val="9"/>
    </w:pPr>
  </w:style>
  <w:style w:type="paragraph" w:customStyle="1" w:styleId="Zdrojdat">
    <w:name w:val="Zdroj dat"/>
    <w:basedOn w:val="Normln"/>
    <w:link w:val="ZdrojdatChar"/>
    <w:rsid w:val="00FB5E76"/>
    <w:pPr>
      <w:spacing w:before="120"/>
    </w:pPr>
    <w:rPr>
      <w:b/>
      <w:color w:val="262626"/>
    </w:rPr>
  </w:style>
  <w:style w:type="character" w:customStyle="1" w:styleId="ZdrojdatChar">
    <w:name w:val="Zdroj dat Char"/>
    <w:basedOn w:val="Standardnpsmoodstavce"/>
    <w:link w:val="Zdrojdat"/>
    <w:rsid w:val="00FB5E76"/>
    <w:rPr>
      <w:b/>
      <w:color w:val="262626"/>
      <w:sz w:val="20"/>
      <w:szCs w:val="20"/>
    </w:rPr>
  </w:style>
  <w:style w:type="character" w:styleId="Hypertextovodkaz">
    <w:name w:val="Hyperlink"/>
    <w:basedOn w:val="Standardnpsmoodstavce"/>
    <w:uiPriority w:val="99"/>
    <w:rsid w:val="00AF1713"/>
    <w:rPr>
      <w:color w:val="0000FF"/>
      <w:u w:val="single"/>
    </w:rPr>
  </w:style>
  <w:style w:type="paragraph" w:styleId="Obsah1">
    <w:name w:val="toc 1"/>
    <w:basedOn w:val="Normln"/>
    <w:next w:val="Normln"/>
    <w:autoRedefine/>
    <w:uiPriority w:val="39"/>
    <w:rsid w:val="00CE25A1"/>
    <w:pPr>
      <w:tabs>
        <w:tab w:val="right" w:leader="dot" w:pos="9356"/>
      </w:tabs>
      <w:spacing w:before="80" w:after="80"/>
    </w:pPr>
    <w:rPr>
      <w:b/>
      <w:bCs/>
      <w:caps/>
    </w:rPr>
  </w:style>
  <w:style w:type="paragraph" w:styleId="Obsah2">
    <w:name w:val="toc 2"/>
    <w:basedOn w:val="Normln"/>
    <w:next w:val="Normln"/>
    <w:autoRedefine/>
    <w:uiPriority w:val="39"/>
    <w:rsid w:val="007B0DDF"/>
    <w:pPr>
      <w:tabs>
        <w:tab w:val="right" w:leader="dot" w:pos="9302"/>
      </w:tabs>
      <w:spacing w:before="0" w:after="0" w:line="240" w:lineRule="auto"/>
      <w:ind w:left="238"/>
    </w:pPr>
    <w:rPr>
      <w:smallCaps/>
    </w:rPr>
  </w:style>
  <w:style w:type="paragraph" w:styleId="Obsah3">
    <w:name w:val="toc 3"/>
    <w:basedOn w:val="Normln"/>
    <w:next w:val="Normln"/>
    <w:autoRedefine/>
    <w:uiPriority w:val="39"/>
    <w:rsid w:val="00AF1713"/>
    <w:pPr>
      <w:spacing w:after="0"/>
      <w:ind w:left="480"/>
    </w:pPr>
    <w:rPr>
      <w:i/>
      <w:iCs/>
    </w:rPr>
  </w:style>
  <w:style w:type="table" w:styleId="Mkatabulky">
    <w:name w:val="Table Grid"/>
    <w:basedOn w:val="Mkatabulky1"/>
    <w:uiPriority w:val="59"/>
    <w:rsid w:val="00441A42"/>
    <w:pPr>
      <w:spacing w:before="40" w:after="40"/>
      <w:jc w:val="left"/>
    </w:pPr>
    <w:tblPr>
      <w:tblInd w:w="0" w:type="dxa"/>
      <w:tblBorders>
        <w:top w:val="single" w:sz="12" w:space="0" w:color="372C74"/>
        <w:left w:val="single" w:sz="12" w:space="0" w:color="372C74"/>
        <w:bottom w:val="single" w:sz="12" w:space="0" w:color="372C74"/>
        <w:right w:val="single" w:sz="12" w:space="0" w:color="372C74"/>
        <w:insideH w:val="single" w:sz="4" w:space="0" w:color="372C74"/>
        <w:insideV w:val="single" w:sz="4" w:space="0" w:color="372C74"/>
      </w:tblBorders>
      <w:tblCellMar>
        <w:top w:w="0" w:type="dxa"/>
        <w:left w:w="108" w:type="dxa"/>
        <w:bottom w:w="0" w:type="dxa"/>
        <w:right w:w="108" w:type="dxa"/>
      </w:tblCellMar>
    </w:tblPr>
    <w:tcPr>
      <w:shd w:val="clear" w:color="auto" w:fill="auto"/>
      <w:vAlign w:val="center"/>
    </w:tcPr>
    <w:tblStylePr w:type="firstRow">
      <w:rPr>
        <w:rFonts w:ascii="Cambria Math" w:hAnsi="Cambria Math"/>
        <w:color w:val="auto"/>
        <w:sz w:val="22"/>
      </w:rPr>
      <w:tblPr/>
      <w:tcPr>
        <w:tcBorders>
          <w:top w:val="single" w:sz="12" w:space="0" w:color="372C74"/>
          <w:left w:val="single" w:sz="12" w:space="0" w:color="372C74"/>
          <w:bottom w:val="single" w:sz="12" w:space="0" w:color="372C74"/>
          <w:right w:val="single" w:sz="12" w:space="0" w:color="372C74"/>
          <w:insideH w:val="nil"/>
          <w:insideV w:val="nil"/>
          <w:tl2br w:val="nil"/>
          <w:tr2bl w:val="nil"/>
        </w:tcBorders>
        <w:shd w:val="clear" w:color="auto" w:fill="372C74"/>
      </w:tcPr>
    </w:tblStylePr>
    <w:tblStylePr w:type="lastRow">
      <w:rPr>
        <w:i/>
        <w:iCs/>
      </w:rPr>
      <w:tblPr/>
      <w:tcPr>
        <w:tcBorders>
          <w:tl2br w:val="none" w:sz="0" w:space="0" w:color="auto"/>
          <w:tr2bl w:val="none" w:sz="0" w:space="0" w:color="auto"/>
        </w:tcBorders>
      </w:tcPr>
    </w:tblStylePr>
    <w:tblStylePr w:type="firstCol">
      <w:rPr>
        <w:color w:val="372C74"/>
      </w:rPr>
      <w:tblPr/>
      <w:tcPr>
        <w:tcBorders>
          <w:top w:val="single" w:sz="12" w:space="0" w:color="372C74"/>
          <w:left w:val="single" w:sz="12" w:space="0" w:color="372C74"/>
          <w:bottom w:val="single" w:sz="12" w:space="0" w:color="372C74"/>
          <w:right w:val="single" w:sz="12" w:space="0" w:color="372C74"/>
          <w:insideH w:val="nil"/>
          <w:insideV w:val="nil"/>
          <w:tl2br w:val="nil"/>
          <w:tr2bl w:val="nil"/>
        </w:tcBorders>
        <w:shd w:val="clear" w:color="auto" w:fill="auto"/>
      </w:tcPr>
    </w:tblStylePr>
    <w:tblStylePr w:type="lastCol">
      <w:rPr>
        <w:i/>
        <w:iCs/>
      </w:rPr>
      <w:tblPr/>
      <w:tcPr>
        <w:tcBorders>
          <w:tl2br w:val="none" w:sz="0" w:space="0" w:color="auto"/>
          <w:tr2bl w:val="none" w:sz="0" w:space="0" w:color="auto"/>
        </w:tcBorders>
      </w:tcPr>
    </w:tblStylePr>
  </w:style>
  <w:style w:type="paragraph" w:styleId="Normlnweb">
    <w:name w:val="Normal (Web)"/>
    <w:basedOn w:val="Normln"/>
    <w:uiPriority w:val="99"/>
    <w:unhideWhenUsed/>
    <w:rsid w:val="00AF1713"/>
    <w:pPr>
      <w:spacing w:before="100" w:beforeAutospacing="1" w:after="100" w:afterAutospacing="1"/>
    </w:pPr>
    <w:rPr>
      <w:rFonts w:eastAsia="Times New Roman"/>
    </w:rPr>
  </w:style>
  <w:style w:type="paragraph" w:styleId="Textbubliny">
    <w:name w:val="Balloon Text"/>
    <w:basedOn w:val="Normln"/>
    <w:link w:val="TextbublinyChar"/>
    <w:uiPriority w:val="99"/>
    <w:semiHidden/>
    <w:unhideWhenUsed/>
    <w:rsid w:val="00AF1713"/>
    <w:pPr>
      <w:spacing w:before="0"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F1713"/>
    <w:rPr>
      <w:rFonts w:ascii="Tahoma" w:eastAsia="MS Mincho" w:hAnsi="Tahoma" w:cs="Tahoma"/>
      <w:sz w:val="16"/>
      <w:szCs w:val="16"/>
      <w:lang w:val="cs-CZ"/>
    </w:rPr>
  </w:style>
  <w:style w:type="paragraph" w:styleId="Zhlav">
    <w:name w:val="header"/>
    <w:basedOn w:val="Normln"/>
    <w:link w:val="ZhlavChar"/>
    <w:uiPriority w:val="99"/>
    <w:unhideWhenUsed/>
    <w:rsid w:val="00AF1713"/>
    <w:pPr>
      <w:tabs>
        <w:tab w:val="center" w:pos="4536"/>
        <w:tab w:val="right" w:pos="9072"/>
      </w:tabs>
      <w:spacing w:before="0" w:after="0" w:line="240" w:lineRule="auto"/>
    </w:pPr>
  </w:style>
  <w:style w:type="character" w:customStyle="1" w:styleId="ZhlavChar">
    <w:name w:val="Záhlaví Char"/>
    <w:basedOn w:val="Standardnpsmoodstavce"/>
    <w:link w:val="Zhlav"/>
    <w:uiPriority w:val="99"/>
    <w:rsid w:val="00AF1713"/>
    <w:rPr>
      <w:rFonts w:eastAsia="MS Mincho"/>
      <w:szCs w:val="20"/>
      <w:lang w:val="cs-CZ"/>
    </w:rPr>
  </w:style>
  <w:style w:type="paragraph" w:styleId="Zpat">
    <w:name w:val="footer"/>
    <w:basedOn w:val="Normln"/>
    <w:link w:val="ZpatChar"/>
    <w:uiPriority w:val="99"/>
    <w:unhideWhenUsed/>
    <w:rsid w:val="00AF1713"/>
    <w:pPr>
      <w:tabs>
        <w:tab w:val="center" w:pos="4536"/>
        <w:tab w:val="right" w:pos="9072"/>
      </w:tabs>
      <w:spacing w:before="0" w:after="0" w:line="240" w:lineRule="auto"/>
    </w:pPr>
  </w:style>
  <w:style w:type="character" w:customStyle="1" w:styleId="ZpatChar">
    <w:name w:val="Zápatí Char"/>
    <w:basedOn w:val="Standardnpsmoodstavce"/>
    <w:link w:val="Zpat"/>
    <w:uiPriority w:val="99"/>
    <w:rsid w:val="00AF1713"/>
    <w:rPr>
      <w:rFonts w:eastAsia="MS Mincho"/>
      <w:szCs w:val="20"/>
      <w:lang w:val="cs-CZ"/>
    </w:rPr>
  </w:style>
  <w:style w:type="paragraph" w:styleId="Zkladntext">
    <w:name w:val="Body Text"/>
    <w:basedOn w:val="Normln"/>
    <w:link w:val="ZkladntextChar"/>
    <w:rsid w:val="00E42431"/>
    <w:pPr>
      <w:spacing w:before="0" w:after="120" w:line="240" w:lineRule="auto"/>
    </w:pPr>
    <w:rPr>
      <w:rFonts w:ascii="Times New Roman" w:eastAsia="Times New Roman" w:hAnsi="Times New Roman"/>
      <w:sz w:val="24"/>
      <w:szCs w:val="24"/>
      <w:lang w:eastAsia="cs-CZ" w:bidi="ar-SA"/>
    </w:rPr>
  </w:style>
  <w:style w:type="character" w:customStyle="1" w:styleId="ZkladntextChar">
    <w:name w:val="Základní text Char"/>
    <w:basedOn w:val="Standardnpsmoodstavce"/>
    <w:link w:val="Zkladntext"/>
    <w:rsid w:val="00E42431"/>
    <w:rPr>
      <w:rFonts w:ascii="Times New Roman" w:eastAsia="Times New Roman" w:hAnsi="Times New Roman" w:cs="Times New Roman"/>
      <w:sz w:val="24"/>
      <w:szCs w:val="24"/>
      <w:lang w:val="cs-CZ" w:eastAsia="cs-CZ" w:bidi="ar-SA"/>
    </w:rPr>
  </w:style>
  <w:style w:type="table" w:customStyle="1" w:styleId="Styl1">
    <w:name w:val="Styl1"/>
    <w:basedOn w:val="Normlntabulka"/>
    <w:uiPriority w:val="99"/>
    <w:qFormat/>
    <w:rsid w:val="009132A1"/>
    <w:tblPr>
      <w:tblInd w:w="0" w:type="dxa"/>
      <w:tblBorders>
        <w:top w:val="single" w:sz="8" w:space="0" w:color="372C74"/>
        <w:bottom w:val="single" w:sz="8" w:space="0" w:color="372C74"/>
        <w:insideH w:val="single" w:sz="4" w:space="0" w:color="auto"/>
      </w:tblBorders>
      <w:tblCellMar>
        <w:top w:w="0" w:type="dxa"/>
        <w:left w:w="108" w:type="dxa"/>
        <w:bottom w:w="0" w:type="dxa"/>
        <w:right w:w="108" w:type="dxa"/>
      </w:tblCellMar>
    </w:tblPr>
  </w:style>
  <w:style w:type="paragraph" w:customStyle="1" w:styleId="Default">
    <w:name w:val="Default"/>
    <w:rsid w:val="00F55414"/>
    <w:pPr>
      <w:autoSpaceDE w:val="0"/>
      <w:autoSpaceDN w:val="0"/>
      <w:adjustRightInd w:val="0"/>
      <w:spacing w:before="200" w:after="200" w:line="276" w:lineRule="auto"/>
    </w:pPr>
    <w:rPr>
      <w:rFonts w:ascii="Arial" w:eastAsia="Calibri" w:hAnsi="Arial" w:cs="Arial"/>
      <w:color w:val="000000"/>
      <w:sz w:val="24"/>
      <w:szCs w:val="24"/>
      <w:lang w:val="cs-CZ"/>
    </w:rPr>
  </w:style>
  <w:style w:type="paragraph" w:styleId="Obsah5">
    <w:name w:val="toc 5"/>
    <w:basedOn w:val="Normln"/>
    <w:next w:val="Normln"/>
    <w:autoRedefine/>
    <w:uiPriority w:val="39"/>
    <w:unhideWhenUsed/>
    <w:rsid w:val="0023333C"/>
    <w:pPr>
      <w:spacing w:after="100"/>
      <w:ind w:left="880"/>
    </w:pPr>
  </w:style>
  <w:style w:type="paragraph" w:styleId="Obsah4">
    <w:name w:val="toc 4"/>
    <w:basedOn w:val="Normln"/>
    <w:next w:val="Normln"/>
    <w:autoRedefine/>
    <w:uiPriority w:val="39"/>
    <w:unhideWhenUsed/>
    <w:rsid w:val="004644E0"/>
    <w:pPr>
      <w:tabs>
        <w:tab w:val="right" w:leader="dot" w:pos="9302"/>
      </w:tabs>
      <w:spacing w:before="120" w:after="120" w:line="240" w:lineRule="auto"/>
      <w:ind w:left="658"/>
    </w:pPr>
  </w:style>
  <w:style w:type="paragraph" w:styleId="Obsah6">
    <w:name w:val="toc 6"/>
    <w:basedOn w:val="Normln"/>
    <w:next w:val="Normln"/>
    <w:autoRedefine/>
    <w:uiPriority w:val="39"/>
    <w:unhideWhenUsed/>
    <w:rsid w:val="0023333C"/>
    <w:pPr>
      <w:spacing w:before="0" w:after="100"/>
      <w:ind w:left="1100"/>
    </w:pPr>
    <w:rPr>
      <w:szCs w:val="22"/>
      <w:lang w:eastAsia="cs-CZ" w:bidi="ar-SA"/>
    </w:rPr>
  </w:style>
  <w:style w:type="paragraph" w:styleId="Obsah7">
    <w:name w:val="toc 7"/>
    <w:basedOn w:val="Normln"/>
    <w:next w:val="Normln"/>
    <w:autoRedefine/>
    <w:uiPriority w:val="39"/>
    <w:unhideWhenUsed/>
    <w:rsid w:val="0023333C"/>
    <w:pPr>
      <w:spacing w:before="0" w:after="100"/>
      <w:ind w:left="1320"/>
    </w:pPr>
    <w:rPr>
      <w:szCs w:val="22"/>
      <w:lang w:eastAsia="cs-CZ" w:bidi="ar-SA"/>
    </w:rPr>
  </w:style>
  <w:style w:type="paragraph" w:styleId="Obsah8">
    <w:name w:val="toc 8"/>
    <w:basedOn w:val="Normln"/>
    <w:next w:val="Normln"/>
    <w:autoRedefine/>
    <w:uiPriority w:val="39"/>
    <w:unhideWhenUsed/>
    <w:rsid w:val="0023333C"/>
    <w:pPr>
      <w:spacing w:before="0" w:after="100"/>
      <w:ind w:left="1540"/>
    </w:pPr>
    <w:rPr>
      <w:szCs w:val="22"/>
      <w:lang w:eastAsia="cs-CZ" w:bidi="ar-SA"/>
    </w:rPr>
  </w:style>
  <w:style w:type="paragraph" w:styleId="Obsah9">
    <w:name w:val="toc 9"/>
    <w:basedOn w:val="Normln"/>
    <w:next w:val="Normln"/>
    <w:autoRedefine/>
    <w:uiPriority w:val="39"/>
    <w:unhideWhenUsed/>
    <w:rsid w:val="0023333C"/>
    <w:pPr>
      <w:spacing w:before="0" w:after="100"/>
      <w:ind w:left="1760"/>
    </w:pPr>
    <w:rPr>
      <w:szCs w:val="22"/>
      <w:lang w:eastAsia="cs-CZ" w:bidi="ar-SA"/>
    </w:rPr>
  </w:style>
  <w:style w:type="paragraph" w:styleId="Textpoznpodarou">
    <w:name w:val="footnote text"/>
    <w:aliases w:val="Fußnotentextf,Text poznámky pod čiarou 007,Footnote,Schriftart: 9 pt,Schriftart: 10 pt,Schriftart: 8 pt,pozn. pod čarou,Geneva 9,Font: Geneva 9,Boston 10,f,Schrif,Podrozdział,Podrozdzia3,Footnote Text Char1,Footnote Text Char Char"/>
    <w:basedOn w:val="Normln"/>
    <w:link w:val="TextpoznpodarouChar"/>
    <w:qFormat/>
    <w:rsid w:val="008144EE"/>
    <w:pPr>
      <w:suppressAutoHyphens/>
      <w:spacing w:before="0" w:after="0" w:line="240" w:lineRule="auto"/>
    </w:pPr>
    <w:rPr>
      <w:rFonts w:eastAsia="Calibri"/>
      <w:spacing w:val="0"/>
      <w:sz w:val="18"/>
      <w:lang w:eastAsia="ar-SA" w:bidi="ar-SA"/>
    </w:rPr>
  </w:style>
  <w:style w:type="character" w:customStyle="1" w:styleId="TextpoznpodarouChar">
    <w:name w:val="Text pozn. pod čarou Char"/>
    <w:aliases w:val="Fußnotentextf Char,Text poznámky pod čiarou 007 Char,Footnote Char,Schriftart: 9 pt Char,Schriftart: 10 pt Char,Schriftart: 8 pt Char,pozn. pod čarou Char,Geneva 9 Char,Font: Geneva 9 Char,Boston 10 Char,f Char,Schrif Char"/>
    <w:basedOn w:val="Standardnpsmoodstavce"/>
    <w:link w:val="Textpoznpodarou"/>
    <w:rsid w:val="008144EE"/>
    <w:rPr>
      <w:rFonts w:eastAsia="Calibri" w:cs="Times New Roman"/>
      <w:sz w:val="18"/>
      <w:szCs w:val="20"/>
      <w:lang w:val="cs-CZ" w:eastAsia="ar-SA" w:bidi="ar-SA"/>
    </w:rPr>
  </w:style>
  <w:style w:type="character" w:styleId="Znakapoznpodarou">
    <w:name w:val="footnote reference"/>
    <w:aliases w:val="PGI Fußnote Ziffer"/>
    <w:rsid w:val="008D1758"/>
    <w:rPr>
      <w:vertAlign w:val="superscript"/>
    </w:rPr>
  </w:style>
  <w:style w:type="paragraph" w:customStyle="1" w:styleId="NadpisRP3">
    <w:name w:val="Nadpis RP 3"/>
    <w:basedOn w:val="Nadpis3"/>
    <w:next w:val="Normln"/>
    <w:autoRedefine/>
    <w:rsid w:val="00C91D3F"/>
    <w:pPr>
      <w:spacing w:before="0" w:after="200"/>
    </w:pPr>
    <w:rPr>
      <w:i/>
    </w:rPr>
  </w:style>
  <w:style w:type="character" w:styleId="Odkaznakoment">
    <w:name w:val="annotation reference"/>
    <w:basedOn w:val="Standardnpsmoodstavce"/>
    <w:uiPriority w:val="99"/>
    <w:semiHidden/>
    <w:unhideWhenUsed/>
    <w:rsid w:val="008911FB"/>
    <w:rPr>
      <w:sz w:val="16"/>
      <w:szCs w:val="16"/>
    </w:rPr>
  </w:style>
  <w:style w:type="paragraph" w:styleId="Textkomente">
    <w:name w:val="annotation text"/>
    <w:basedOn w:val="Normln"/>
    <w:link w:val="TextkomenteChar"/>
    <w:uiPriority w:val="99"/>
    <w:unhideWhenUsed/>
    <w:rsid w:val="008911FB"/>
    <w:pPr>
      <w:spacing w:line="240" w:lineRule="auto"/>
    </w:pPr>
  </w:style>
  <w:style w:type="character" w:customStyle="1" w:styleId="TextkomenteChar">
    <w:name w:val="Text komentáře Char"/>
    <w:basedOn w:val="Standardnpsmoodstavce"/>
    <w:link w:val="Textkomente"/>
    <w:uiPriority w:val="99"/>
    <w:rsid w:val="008911FB"/>
    <w:rPr>
      <w:rFonts w:eastAsia="MS Mincho"/>
      <w:sz w:val="20"/>
      <w:szCs w:val="20"/>
      <w:lang w:val="cs-CZ"/>
    </w:rPr>
  </w:style>
  <w:style w:type="paragraph" w:styleId="Pedmtkomente">
    <w:name w:val="annotation subject"/>
    <w:basedOn w:val="Textkomente"/>
    <w:next w:val="Textkomente"/>
    <w:link w:val="PedmtkomenteChar"/>
    <w:uiPriority w:val="99"/>
    <w:semiHidden/>
    <w:unhideWhenUsed/>
    <w:rsid w:val="008911FB"/>
    <w:rPr>
      <w:b/>
      <w:bCs/>
    </w:rPr>
  </w:style>
  <w:style w:type="character" w:customStyle="1" w:styleId="PedmtkomenteChar">
    <w:name w:val="Předmět komentáře Char"/>
    <w:basedOn w:val="TextkomenteChar"/>
    <w:link w:val="Pedmtkomente"/>
    <w:uiPriority w:val="99"/>
    <w:semiHidden/>
    <w:rsid w:val="008911FB"/>
    <w:rPr>
      <w:rFonts w:eastAsia="MS Mincho"/>
      <w:b/>
      <w:bCs/>
      <w:sz w:val="20"/>
      <w:szCs w:val="20"/>
      <w:lang w:val="cs-CZ"/>
    </w:rPr>
  </w:style>
  <w:style w:type="character" w:customStyle="1" w:styleId="apple-converted-space">
    <w:name w:val="apple-converted-space"/>
    <w:basedOn w:val="Standardnpsmoodstavce"/>
    <w:rsid w:val="00871FDF"/>
  </w:style>
  <w:style w:type="paragraph" w:customStyle="1" w:styleId="Texttabulky">
    <w:name w:val="Text tabulky"/>
    <w:basedOn w:val="Normln"/>
    <w:qFormat/>
    <w:rsid w:val="00A603C4"/>
    <w:pPr>
      <w:spacing w:before="40" w:after="40" w:line="240" w:lineRule="auto"/>
      <w:jc w:val="left"/>
    </w:pPr>
    <w:rPr>
      <w:spacing w:val="0"/>
    </w:rPr>
  </w:style>
  <w:style w:type="table" w:styleId="Mkatabulky1">
    <w:name w:val="Table Grid 1"/>
    <w:basedOn w:val="Normlntabulka"/>
    <w:uiPriority w:val="99"/>
    <w:semiHidden/>
    <w:unhideWhenUsed/>
    <w:rsid w:val="00B10F6F"/>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Bn">
    <w:name w:val="Běžný"/>
    <w:basedOn w:val="Normln"/>
    <w:rsid w:val="009066B4"/>
    <w:pPr>
      <w:spacing w:before="60" w:after="60" w:line="240" w:lineRule="auto"/>
    </w:pPr>
    <w:rPr>
      <w:rFonts w:ascii="Arial" w:eastAsia="Geneva" w:hAnsi="Arial" w:cs="Tahoma"/>
      <w:spacing w:val="0"/>
      <w:sz w:val="20"/>
      <w:lang w:eastAsia="cs-CZ" w:bidi="ar-SA"/>
    </w:rPr>
  </w:style>
  <w:style w:type="paragraph" w:styleId="Zkladntext2">
    <w:name w:val="Body Text 2"/>
    <w:basedOn w:val="Normln"/>
    <w:link w:val="Zkladntext2Char"/>
    <w:uiPriority w:val="99"/>
    <w:semiHidden/>
    <w:unhideWhenUsed/>
    <w:rsid w:val="00D462DC"/>
    <w:pPr>
      <w:spacing w:after="120" w:line="480" w:lineRule="auto"/>
    </w:pPr>
  </w:style>
  <w:style w:type="character" w:customStyle="1" w:styleId="Zkladntext2Char">
    <w:name w:val="Základní text 2 Char"/>
    <w:basedOn w:val="Standardnpsmoodstavce"/>
    <w:link w:val="Zkladntext2"/>
    <w:uiPriority w:val="99"/>
    <w:semiHidden/>
    <w:rsid w:val="00D462DC"/>
    <w:rPr>
      <w:spacing w:val="4"/>
      <w:szCs w:val="20"/>
      <w:lang w:val="cs-CZ"/>
    </w:rPr>
  </w:style>
  <w:style w:type="paragraph" w:customStyle="1" w:styleId="CVHeadingLanguage">
    <w:name w:val="CV Heading Language"/>
    <w:basedOn w:val="Normln"/>
    <w:next w:val="LevelAssessment-Code"/>
    <w:rsid w:val="00D462DC"/>
    <w:pPr>
      <w:suppressAutoHyphens/>
      <w:spacing w:after="0"/>
      <w:ind w:left="113" w:right="113"/>
      <w:jc w:val="right"/>
    </w:pPr>
    <w:rPr>
      <w:rFonts w:ascii="Arial Narrow" w:eastAsia="Times New Roman" w:hAnsi="Arial Narrow"/>
      <w:b/>
      <w:spacing w:val="0"/>
      <w:lang w:eastAsia="ar-SA"/>
    </w:rPr>
  </w:style>
  <w:style w:type="paragraph" w:customStyle="1" w:styleId="LevelAssessment-Code">
    <w:name w:val="Level Assessment - Code"/>
    <w:basedOn w:val="Normln"/>
    <w:next w:val="LevelAssessment-Description"/>
    <w:rsid w:val="00D462DC"/>
    <w:pPr>
      <w:suppressAutoHyphens/>
      <w:spacing w:after="0"/>
      <w:ind w:left="28"/>
      <w:jc w:val="center"/>
    </w:pPr>
    <w:rPr>
      <w:rFonts w:ascii="Arial Narrow" w:eastAsia="Times New Roman" w:hAnsi="Arial Narrow"/>
      <w:spacing w:val="0"/>
      <w:sz w:val="18"/>
      <w:lang w:eastAsia="ar-SA"/>
    </w:rPr>
  </w:style>
  <w:style w:type="paragraph" w:customStyle="1" w:styleId="LevelAssessment-Description">
    <w:name w:val="Level Assessment - Description"/>
    <w:basedOn w:val="LevelAssessment-Code"/>
    <w:next w:val="LevelAssessment-Code"/>
    <w:rsid w:val="00D462DC"/>
    <w:pPr>
      <w:textAlignment w:val="bottom"/>
    </w:pPr>
  </w:style>
  <w:style w:type="paragraph" w:customStyle="1" w:styleId="LevelAssessment-Note">
    <w:name w:val="Level Assessment - Note"/>
    <w:basedOn w:val="LevelAssessment-Code"/>
    <w:rsid w:val="00D462DC"/>
    <w:pPr>
      <w:ind w:left="113"/>
      <w:jc w:val="left"/>
    </w:pPr>
    <w:rPr>
      <w:i/>
    </w:rPr>
  </w:style>
  <w:style w:type="paragraph" w:customStyle="1" w:styleId="CVNormal">
    <w:name w:val="CV Normal"/>
    <w:basedOn w:val="Normln"/>
    <w:rsid w:val="00D462DC"/>
    <w:pPr>
      <w:suppressAutoHyphens/>
      <w:spacing w:after="0"/>
      <w:ind w:left="113" w:right="113"/>
    </w:pPr>
    <w:rPr>
      <w:rFonts w:ascii="Arial Narrow" w:eastAsia="Times New Roman" w:hAnsi="Arial Narrow"/>
      <w:spacing w:val="0"/>
      <w:sz w:val="20"/>
      <w:lang w:eastAsia="ar-SA"/>
    </w:rPr>
  </w:style>
  <w:style w:type="paragraph" w:customStyle="1" w:styleId="CVTitle">
    <w:name w:val="CV Title"/>
    <w:basedOn w:val="Normln"/>
    <w:rsid w:val="00983E2C"/>
    <w:pPr>
      <w:suppressAutoHyphens/>
      <w:spacing w:after="0"/>
      <w:ind w:left="113" w:right="113"/>
      <w:jc w:val="right"/>
    </w:pPr>
    <w:rPr>
      <w:rFonts w:ascii="Arial Narrow" w:eastAsia="Times New Roman" w:hAnsi="Arial Narrow"/>
      <w:b/>
      <w:bCs/>
      <w:spacing w:val="10"/>
      <w:sz w:val="28"/>
      <w:lang w:val="fr-FR" w:eastAsia="ar-SA"/>
    </w:rPr>
  </w:style>
  <w:style w:type="paragraph" w:customStyle="1" w:styleId="CVHeading1">
    <w:name w:val="CV Heading 1"/>
    <w:basedOn w:val="Normln"/>
    <w:next w:val="Normln"/>
    <w:rsid w:val="00983E2C"/>
    <w:pPr>
      <w:suppressAutoHyphens/>
      <w:spacing w:before="74" w:after="0"/>
      <w:ind w:left="113" w:right="113"/>
      <w:jc w:val="right"/>
    </w:pPr>
    <w:rPr>
      <w:rFonts w:ascii="Arial Narrow" w:eastAsia="Times New Roman" w:hAnsi="Arial Narrow"/>
      <w:b/>
      <w:spacing w:val="0"/>
      <w:lang w:eastAsia="ar-SA"/>
    </w:rPr>
  </w:style>
  <w:style w:type="paragraph" w:customStyle="1" w:styleId="CVHeading2">
    <w:name w:val="CV Heading 2"/>
    <w:basedOn w:val="CVHeading1"/>
    <w:next w:val="Normln"/>
    <w:rsid w:val="00983E2C"/>
    <w:pPr>
      <w:spacing w:before="0"/>
    </w:pPr>
    <w:rPr>
      <w:b w:val="0"/>
    </w:rPr>
  </w:style>
  <w:style w:type="paragraph" w:customStyle="1" w:styleId="CVHeading2-FirstLine">
    <w:name w:val="CV Heading 2 - First Line"/>
    <w:basedOn w:val="CVHeading2"/>
    <w:next w:val="CVHeading2"/>
    <w:rsid w:val="00983E2C"/>
    <w:pPr>
      <w:spacing w:before="74"/>
    </w:pPr>
  </w:style>
  <w:style w:type="paragraph" w:customStyle="1" w:styleId="CVHeading3">
    <w:name w:val="CV Heading 3"/>
    <w:basedOn w:val="Normln"/>
    <w:next w:val="Normln"/>
    <w:rsid w:val="00983E2C"/>
    <w:pPr>
      <w:suppressAutoHyphens/>
      <w:spacing w:after="0"/>
      <w:ind w:left="113" w:right="113"/>
      <w:jc w:val="right"/>
      <w:textAlignment w:val="center"/>
    </w:pPr>
    <w:rPr>
      <w:rFonts w:ascii="Arial Narrow" w:eastAsia="Times New Roman" w:hAnsi="Arial Narrow"/>
      <w:spacing w:val="0"/>
      <w:sz w:val="20"/>
      <w:lang w:eastAsia="ar-SA"/>
    </w:rPr>
  </w:style>
  <w:style w:type="paragraph" w:customStyle="1" w:styleId="CVHeading3-FirstLine">
    <w:name w:val="CV Heading 3 - First Line"/>
    <w:basedOn w:val="CVHeading3"/>
    <w:next w:val="CVHeading3"/>
    <w:rsid w:val="00983E2C"/>
    <w:pPr>
      <w:spacing w:before="74"/>
    </w:pPr>
  </w:style>
  <w:style w:type="paragraph" w:customStyle="1" w:styleId="CVHeadingLevel">
    <w:name w:val="CV Heading Level"/>
    <w:basedOn w:val="CVHeading3"/>
    <w:next w:val="Normln"/>
    <w:rsid w:val="00983E2C"/>
    <w:rPr>
      <w:i/>
    </w:rPr>
  </w:style>
  <w:style w:type="paragraph" w:customStyle="1" w:styleId="LevelAssessment-Heading1">
    <w:name w:val="Level Assessment - Heading 1"/>
    <w:basedOn w:val="LevelAssessment-Code"/>
    <w:rsid w:val="00983E2C"/>
    <w:pPr>
      <w:ind w:left="57" w:right="57"/>
    </w:pPr>
    <w:rPr>
      <w:b/>
      <w:sz w:val="22"/>
    </w:rPr>
  </w:style>
  <w:style w:type="paragraph" w:customStyle="1" w:styleId="LevelAssessment-Heading2">
    <w:name w:val="Level Assessment - Heading 2"/>
    <w:basedOn w:val="Normln"/>
    <w:rsid w:val="00983E2C"/>
    <w:pPr>
      <w:suppressAutoHyphens/>
      <w:spacing w:after="0"/>
      <w:ind w:left="57" w:right="57"/>
      <w:jc w:val="center"/>
    </w:pPr>
    <w:rPr>
      <w:rFonts w:ascii="Arial Narrow" w:eastAsia="Times New Roman" w:hAnsi="Arial Narrow"/>
      <w:spacing w:val="0"/>
      <w:sz w:val="18"/>
      <w:lang w:eastAsia="ar-SA"/>
    </w:rPr>
  </w:style>
  <w:style w:type="paragraph" w:customStyle="1" w:styleId="CVMajor-FirstLine">
    <w:name w:val="CV Major - First Line"/>
    <w:basedOn w:val="Normln"/>
    <w:next w:val="Normln"/>
    <w:rsid w:val="00983E2C"/>
    <w:pPr>
      <w:suppressAutoHyphens/>
      <w:spacing w:before="74" w:after="0"/>
      <w:ind w:left="113" w:right="113"/>
    </w:pPr>
    <w:rPr>
      <w:rFonts w:ascii="Arial Narrow" w:eastAsia="Times New Roman" w:hAnsi="Arial Narrow"/>
      <w:b/>
      <w:spacing w:val="0"/>
      <w:lang w:eastAsia="ar-SA"/>
    </w:rPr>
  </w:style>
  <w:style w:type="paragraph" w:customStyle="1" w:styleId="CVMedium-FirstLine">
    <w:name w:val="CV Medium - First Line"/>
    <w:basedOn w:val="Normln"/>
    <w:next w:val="Normln"/>
    <w:rsid w:val="00983E2C"/>
    <w:pPr>
      <w:suppressAutoHyphens/>
      <w:spacing w:before="74" w:after="0"/>
      <w:ind w:left="113" w:right="113"/>
    </w:pPr>
    <w:rPr>
      <w:rFonts w:ascii="Arial Narrow" w:eastAsia="Times New Roman" w:hAnsi="Arial Narrow"/>
      <w:b/>
      <w:spacing w:val="0"/>
      <w:lang w:eastAsia="ar-SA"/>
    </w:rPr>
  </w:style>
  <w:style w:type="paragraph" w:customStyle="1" w:styleId="CVNormal-FirstLine">
    <w:name w:val="CV Normal - First Line"/>
    <w:basedOn w:val="CVNormal"/>
    <w:next w:val="CVNormal"/>
    <w:rsid w:val="00983E2C"/>
    <w:pPr>
      <w:spacing w:before="74"/>
    </w:pPr>
  </w:style>
  <w:style w:type="paragraph" w:styleId="Revize">
    <w:name w:val="Revision"/>
    <w:hidden/>
    <w:uiPriority w:val="99"/>
    <w:semiHidden/>
    <w:rsid w:val="00507A3F"/>
    <w:rPr>
      <w:spacing w:val="4"/>
      <w:sz w:val="22"/>
      <w:lang w:val="cs-CZ" w:bidi="en-US"/>
    </w:rPr>
  </w:style>
  <w:style w:type="paragraph" w:customStyle="1" w:styleId="Text">
    <w:name w:val="Text"/>
    <w:basedOn w:val="Normln"/>
    <w:rsid w:val="00A006A7"/>
    <w:pPr>
      <w:tabs>
        <w:tab w:val="left" w:pos="227"/>
      </w:tabs>
      <w:spacing w:before="0" w:after="0" w:line="220" w:lineRule="exact"/>
    </w:pPr>
    <w:rPr>
      <w:rFonts w:ascii="Book Antiqua" w:eastAsia="Times New Roman" w:hAnsi="Book Antiqua"/>
      <w:color w:val="000000"/>
      <w:spacing w:val="0"/>
      <w:sz w:val="18"/>
      <w:lang w:eastAsia="cs-CZ" w:bidi="ar-SA"/>
    </w:rPr>
  </w:style>
  <w:style w:type="character" w:styleId="slostrnky">
    <w:name w:val="page number"/>
    <w:basedOn w:val="Standardnpsmoodstavce"/>
    <w:uiPriority w:val="99"/>
    <w:semiHidden/>
    <w:unhideWhenUsed/>
    <w:rsid w:val="006B0985"/>
  </w:style>
  <w:style w:type="paragraph" w:customStyle="1" w:styleId="Odstavecseseznamem1">
    <w:name w:val="Odstavec se seznamem1"/>
    <w:basedOn w:val="Normln"/>
    <w:uiPriority w:val="34"/>
    <w:qFormat/>
    <w:rsid w:val="006A19F1"/>
    <w:pPr>
      <w:spacing w:before="0"/>
      <w:ind w:left="720"/>
      <w:contextualSpacing/>
      <w:jc w:val="left"/>
    </w:pPr>
    <w:rPr>
      <w:rFonts w:eastAsia="Calibri"/>
      <w:spacing w:val="0"/>
      <w:szCs w:val="22"/>
      <w:lang w:bidi="ar-SA"/>
    </w:rPr>
  </w:style>
  <w:style w:type="paragraph" w:styleId="Prosttext">
    <w:name w:val="Plain Text"/>
    <w:basedOn w:val="Normln"/>
    <w:link w:val="ProsttextChar"/>
    <w:uiPriority w:val="99"/>
    <w:semiHidden/>
    <w:unhideWhenUsed/>
    <w:rsid w:val="00D57280"/>
    <w:pPr>
      <w:spacing w:before="0" w:after="0" w:line="240" w:lineRule="auto"/>
    </w:pPr>
    <w:rPr>
      <w:rFonts w:ascii="Consolas" w:hAnsi="Consolas"/>
      <w:sz w:val="21"/>
      <w:szCs w:val="21"/>
    </w:rPr>
  </w:style>
  <w:style w:type="character" w:customStyle="1" w:styleId="ProsttextChar">
    <w:name w:val="Prostý text Char"/>
    <w:basedOn w:val="Standardnpsmoodstavce"/>
    <w:link w:val="Prosttext"/>
    <w:uiPriority w:val="99"/>
    <w:semiHidden/>
    <w:rsid w:val="00D57280"/>
    <w:rPr>
      <w:rFonts w:ascii="Consolas" w:hAnsi="Consolas"/>
      <w:spacing w:val="4"/>
      <w:sz w:val="21"/>
      <w:szCs w:val="21"/>
      <w:lang w:val="cs-CZ" w:bidi="en-US"/>
    </w:rPr>
  </w:style>
  <w:style w:type="paragraph" w:customStyle="1" w:styleId="Style1">
    <w:name w:val="Style1"/>
    <w:basedOn w:val="Normln"/>
    <w:semiHidden/>
    <w:rsid w:val="008466FA"/>
    <w:pPr>
      <w:spacing w:before="0" w:after="240" w:line="240" w:lineRule="auto"/>
      <w:ind w:left="1134" w:right="1078"/>
    </w:pPr>
    <w:rPr>
      <w:rFonts w:ascii="Times New Roman" w:eastAsia="Times New Roman" w:hAnsi="Times New Roman"/>
      <w:spacing w:val="0"/>
      <w:sz w:val="24"/>
      <w:szCs w:val="24"/>
      <w:lang w:val="en-US" w:bidi="ar-SA"/>
    </w:rPr>
  </w:style>
  <w:style w:type="paragraph" w:customStyle="1" w:styleId="Bulletcopy2">
    <w:name w:val="Bullet copy 2"/>
    <w:basedOn w:val="Normln"/>
    <w:link w:val="Bulletcopy2Char"/>
    <w:rsid w:val="002C4229"/>
    <w:pPr>
      <w:tabs>
        <w:tab w:val="num" w:pos="362"/>
      </w:tabs>
      <w:spacing w:before="0" w:after="120" w:line="260" w:lineRule="exact"/>
      <w:jc w:val="left"/>
    </w:pPr>
    <w:rPr>
      <w:rFonts w:ascii="Arial" w:eastAsia="Times New Roman" w:hAnsi="Arial"/>
      <w:spacing w:val="0"/>
      <w:sz w:val="20"/>
      <w:szCs w:val="18"/>
      <w:lang w:val="en-US" w:bidi="ar-SA"/>
    </w:rPr>
  </w:style>
  <w:style w:type="character" w:customStyle="1" w:styleId="Bulletcopy2Char">
    <w:name w:val="Bullet copy 2 Char"/>
    <w:basedOn w:val="Standardnpsmoodstavce"/>
    <w:link w:val="Bulletcopy2"/>
    <w:rsid w:val="002C4229"/>
    <w:rPr>
      <w:rFonts w:ascii="Arial" w:eastAsia="Times New Roman" w:hAnsi="Arial"/>
      <w:szCs w:val="18"/>
    </w:rPr>
  </w:style>
  <w:style w:type="paragraph" w:customStyle="1" w:styleId="Bodycopy">
    <w:name w:val="Body copy"/>
    <w:link w:val="BodycopyChar"/>
    <w:rsid w:val="0015418E"/>
    <w:pPr>
      <w:spacing w:after="260" w:line="260" w:lineRule="atLeast"/>
    </w:pPr>
    <w:rPr>
      <w:rFonts w:ascii="Arial" w:eastAsia="Times New Roman" w:hAnsi="Arial"/>
      <w:color w:val="000000"/>
      <w:sz w:val="22"/>
      <w:szCs w:val="18"/>
    </w:rPr>
  </w:style>
  <w:style w:type="character" w:customStyle="1" w:styleId="BodycopyChar">
    <w:name w:val="Body copy Char"/>
    <w:basedOn w:val="Standardnpsmoodstavce"/>
    <w:link w:val="Bodycopy"/>
    <w:rsid w:val="0015418E"/>
    <w:rPr>
      <w:rFonts w:ascii="Arial" w:eastAsia="Times New Roman" w:hAnsi="Arial"/>
      <w:color w:val="000000"/>
      <w:sz w:val="22"/>
      <w:szCs w:val="18"/>
    </w:rPr>
  </w:style>
  <w:style w:type="character" w:customStyle="1" w:styleId="TitulekChar">
    <w:name w:val="Titulek Char"/>
    <w:link w:val="Titulek"/>
    <w:rsid w:val="00FF5143"/>
    <w:rPr>
      <w:b/>
      <w:bCs/>
      <w:color w:val="372C74"/>
      <w:spacing w:val="10"/>
      <w:sz w:val="18"/>
      <w:szCs w:val="16"/>
      <w:lang w:val="cs-CZ" w:bidi="en-US"/>
    </w:rPr>
  </w:style>
  <w:style w:type="paragraph" w:styleId="Seznamobrzk">
    <w:name w:val="table of figures"/>
    <w:basedOn w:val="Normln"/>
    <w:next w:val="Normln"/>
    <w:uiPriority w:val="99"/>
    <w:unhideWhenUsed/>
    <w:rsid w:val="00D82C5F"/>
    <w:pPr>
      <w:ind w:left="440" w:hanging="440"/>
    </w:pPr>
    <w:rPr>
      <w:szCs w:val="24"/>
    </w:rPr>
  </w:style>
  <w:style w:type="character" w:styleId="Sledovanodkaz">
    <w:name w:val="FollowedHyperlink"/>
    <w:basedOn w:val="Standardnpsmoodstavce"/>
    <w:uiPriority w:val="99"/>
    <w:semiHidden/>
    <w:unhideWhenUsed/>
    <w:rsid w:val="00E24FAE"/>
    <w:rPr>
      <w:color w:val="0070C0" w:themeColor="followedHyperlink"/>
      <w:u w:val="single"/>
    </w:rPr>
  </w:style>
  <w:style w:type="character" w:customStyle="1" w:styleId="OdstavecseseznamemChar">
    <w:name w:val="Odstavec se seznamem Char"/>
    <w:link w:val="Odstavecseseznamem"/>
    <w:locked/>
    <w:rsid w:val="0066735A"/>
    <w:rPr>
      <w:spacing w:val="4"/>
      <w:sz w:val="22"/>
      <w:lang w:val="cs-CZ" w:bidi="en-US"/>
    </w:rPr>
  </w:style>
  <w:style w:type="paragraph" w:customStyle="1" w:styleId="nonformat">
    <w:name w:val="nonformat"/>
    <w:basedOn w:val="Normln"/>
    <w:rsid w:val="00FB5D79"/>
    <w:pPr>
      <w:spacing w:before="100" w:beforeAutospacing="1" w:after="100" w:afterAutospacing="1" w:line="240" w:lineRule="auto"/>
      <w:jc w:val="left"/>
    </w:pPr>
    <w:rPr>
      <w:rFonts w:ascii="Times New Roman" w:eastAsia="Times New Roman" w:hAnsi="Times New Roman"/>
      <w:spacing w:val="0"/>
      <w:sz w:val="24"/>
      <w:szCs w:val="24"/>
      <w:lang w:eastAsia="cs-CZ" w:bidi="ar-SA"/>
    </w:rPr>
  </w:style>
  <w:style w:type="character" w:customStyle="1" w:styleId="mw-headline">
    <w:name w:val="mw-headline"/>
    <w:basedOn w:val="Standardnpsmoodstavce"/>
    <w:rsid w:val="006072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13421">
      <w:bodyDiv w:val="1"/>
      <w:marLeft w:val="0"/>
      <w:marRight w:val="0"/>
      <w:marTop w:val="0"/>
      <w:marBottom w:val="0"/>
      <w:divBdr>
        <w:top w:val="none" w:sz="0" w:space="0" w:color="auto"/>
        <w:left w:val="none" w:sz="0" w:space="0" w:color="auto"/>
        <w:bottom w:val="none" w:sz="0" w:space="0" w:color="auto"/>
        <w:right w:val="none" w:sz="0" w:space="0" w:color="auto"/>
      </w:divBdr>
    </w:div>
    <w:div w:id="43910000">
      <w:bodyDiv w:val="1"/>
      <w:marLeft w:val="0"/>
      <w:marRight w:val="0"/>
      <w:marTop w:val="0"/>
      <w:marBottom w:val="0"/>
      <w:divBdr>
        <w:top w:val="none" w:sz="0" w:space="0" w:color="auto"/>
        <w:left w:val="none" w:sz="0" w:space="0" w:color="auto"/>
        <w:bottom w:val="none" w:sz="0" w:space="0" w:color="auto"/>
        <w:right w:val="none" w:sz="0" w:space="0" w:color="auto"/>
      </w:divBdr>
    </w:div>
    <w:div w:id="74326667">
      <w:bodyDiv w:val="1"/>
      <w:marLeft w:val="0"/>
      <w:marRight w:val="0"/>
      <w:marTop w:val="0"/>
      <w:marBottom w:val="0"/>
      <w:divBdr>
        <w:top w:val="none" w:sz="0" w:space="0" w:color="auto"/>
        <w:left w:val="none" w:sz="0" w:space="0" w:color="auto"/>
        <w:bottom w:val="none" w:sz="0" w:space="0" w:color="auto"/>
        <w:right w:val="none" w:sz="0" w:space="0" w:color="auto"/>
      </w:divBdr>
    </w:div>
    <w:div w:id="76753749">
      <w:bodyDiv w:val="1"/>
      <w:marLeft w:val="0"/>
      <w:marRight w:val="0"/>
      <w:marTop w:val="0"/>
      <w:marBottom w:val="0"/>
      <w:divBdr>
        <w:top w:val="none" w:sz="0" w:space="0" w:color="auto"/>
        <w:left w:val="none" w:sz="0" w:space="0" w:color="auto"/>
        <w:bottom w:val="none" w:sz="0" w:space="0" w:color="auto"/>
        <w:right w:val="none" w:sz="0" w:space="0" w:color="auto"/>
      </w:divBdr>
    </w:div>
    <w:div w:id="89395205">
      <w:bodyDiv w:val="1"/>
      <w:marLeft w:val="0"/>
      <w:marRight w:val="0"/>
      <w:marTop w:val="0"/>
      <w:marBottom w:val="0"/>
      <w:divBdr>
        <w:top w:val="none" w:sz="0" w:space="0" w:color="auto"/>
        <w:left w:val="none" w:sz="0" w:space="0" w:color="auto"/>
        <w:bottom w:val="none" w:sz="0" w:space="0" w:color="auto"/>
        <w:right w:val="none" w:sz="0" w:space="0" w:color="auto"/>
      </w:divBdr>
    </w:div>
    <w:div w:id="138349420">
      <w:bodyDiv w:val="1"/>
      <w:marLeft w:val="0"/>
      <w:marRight w:val="0"/>
      <w:marTop w:val="0"/>
      <w:marBottom w:val="0"/>
      <w:divBdr>
        <w:top w:val="none" w:sz="0" w:space="0" w:color="auto"/>
        <w:left w:val="none" w:sz="0" w:space="0" w:color="auto"/>
        <w:bottom w:val="none" w:sz="0" w:space="0" w:color="auto"/>
        <w:right w:val="none" w:sz="0" w:space="0" w:color="auto"/>
      </w:divBdr>
    </w:div>
    <w:div w:id="143474189">
      <w:bodyDiv w:val="1"/>
      <w:marLeft w:val="0"/>
      <w:marRight w:val="0"/>
      <w:marTop w:val="0"/>
      <w:marBottom w:val="0"/>
      <w:divBdr>
        <w:top w:val="none" w:sz="0" w:space="0" w:color="auto"/>
        <w:left w:val="none" w:sz="0" w:space="0" w:color="auto"/>
        <w:bottom w:val="none" w:sz="0" w:space="0" w:color="auto"/>
        <w:right w:val="none" w:sz="0" w:space="0" w:color="auto"/>
      </w:divBdr>
    </w:div>
    <w:div w:id="148518810">
      <w:bodyDiv w:val="1"/>
      <w:marLeft w:val="0"/>
      <w:marRight w:val="0"/>
      <w:marTop w:val="0"/>
      <w:marBottom w:val="0"/>
      <w:divBdr>
        <w:top w:val="none" w:sz="0" w:space="0" w:color="auto"/>
        <w:left w:val="none" w:sz="0" w:space="0" w:color="auto"/>
        <w:bottom w:val="none" w:sz="0" w:space="0" w:color="auto"/>
        <w:right w:val="none" w:sz="0" w:space="0" w:color="auto"/>
      </w:divBdr>
    </w:div>
    <w:div w:id="149953952">
      <w:bodyDiv w:val="1"/>
      <w:marLeft w:val="0"/>
      <w:marRight w:val="0"/>
      <w:marTop w:val="0"/>
      <w:marBottom w:val="0"/>
      <w:divBdr>
        <w:top w:val="none" w:sz="0" w:space="0" w:color="auto"/>
        <w:left w:val="none" w:sz="0" w:space="0" w:color="auto"/>
        <w:bottom w:val="none" w:sz="0" w:space="0" w:color="auto"/>
        <w:right w:val="none" w:sz="0" w:space="0" w:color="auto"/>
      </w:divBdr>
    </w:div>
    <w:div w:id="155800697">
      <w:bodyDiv w:val="1"/>
      <w:marLeft w:val="0"/>
      <w:marRight w:val="0"/>
      <w:marTop w:val="0"/>
      <w:marBottom w:val="0"/>
      <w:divBdr>
        <w:top w:val="none" w:sz="0" w:space="0" w:color="auto"/>
        <w:left w:val="none" w:sz="0" w:space="0" w:color="auto"/>
        <w:bottom w:val="none" w:sz="0" w:space="0" w:color="auto"/>
        <w:right w:val="none" w:sz="0" w:space="0" w:color="auto"/>
      </w:divBdr>
    </w:div>
    <w:div w:id="156310320">
      <w:bodyDiv w:val="1"/>
      <w:marLeft w:val="0"/>
      <w:marRight w:val="0"/>
      <w:marTop w:val="0"/>
      <w:marBottom w:val="0"/>
      <w:divBdr>
        <w:top w:val="none" w:sz="0" w:space="0" w:color="auto"/>
        <w:left w:val="none" w:sz="0" w:space="0" w:color="auto"/>
        <w:bottom w:val="none" w:sz="0" w:space="0" w:color="auto"/>
        <w:right w:val="none" w:sz="0" w:space="0" w:color="auto"/>
      </w:divBdr>
    </w:div>
    <w:div w:id="158616407">
      <w:bodyDiv w:val="1"/>
      <w:marLeft w:val="0"/>
      <w:marRight w:val="0"/>
      <w:marTop w:val="0"/>
      <w:marBottom w:val="0"/>
      <w:divBdr>
        <w:top w:val="none" w:sz="0" w:space="0" w:color="auto"/>
        <w:left w:val="none" w:sz="0" w:space="0" w:color="auto"/>
        <w:bottom w:val="none" w:sz="0" w:space="0" w:color="auto"/>
        <w:right w:val="none" w:sz="0" w:space="0" w:color="auto"/>
      </w:divBdr>
    </w:div>
    <w:div w:id="212667312">
      <w:bodyDiv w:val="1"/>
      <w:marLeft w:val="0"/>
      <w:marRight w:val="0"/>
      <w:marTop w:val="0"/>
      <w:marBottom w:val="0"/>
      <w:divBdr>
        <w:top w:val="none" w:sz="0" w:space="0" w:color="auto"/>
        <w:left w:val="none" w:sz="0" w:space="0" w:color="auto"/>
        <w:bottom w:val="none" w:sz="0" w:space="0" w:color="auto"/>
        <w:right w:val="none" w:sz="0" w:space="0" w:color="auto"/>
      </w:divBdr>
    </w:div>
    <w:div w:id="254829872">
      <w:bodyDiv w:val="1"/>
      <w:marLeft w:val="0"/>
      <w:marRight w:val="0"/>
      <w:marTop w:val="0"/>
      <w:marBottom w:val="0"/>
      <w:divBdr>
        <w:top w:val="none" w:sz="0" w:space="0" w:color="auto"/>
        <w:left w:val="none" w:sz="0" w:space="0" w:color="auto"/>
        <w:bottom w:val="none" w:sz="0" w:space="0" w:color="auto"/>
        <w:right w:val="none" w:sz="0" w:space="0" w:color="auto"/>
      </w:divBdr>
    </w:div>
    <w:div w:id="261575669">
      <w:bodyDiv w:val="1"/>
      <w:marLeft w:val="0"/>
      <w:marRight w:val="0"/>
      <w:marTop w:val="0"/>
      <w:marBottom w:val="0"/>
      <w:divBdr>
        <w:top w:val="none" w:sz="0" w:space="0" w:color="auto"/>
        <w:left w:val="none" w:sz="0" w:space="0" w:color="auto"/>
        <w:bottom w:val="none" w:sz="0" w:space="0" w:color="auto"/>
        <w:right w:val="none" w:sz="0" w:space="0" w:color="auto"/>
      </w:divBdr>
      <w:divsChild>
        <w:div w:id="946497951">
          <w:marLeft w:val="0"/>
          <w:marRight w:val="0"/>
          <w:marTop w:val="0"/>
          <w:marBottom w:val="0"/>
          <w:divBdr>
            <w:top w:val="none" w:sz="0" w:space="0" w:color="auto"/>
            <w:left w:val="none" w:sz="0" w:space="0" w:color="auto"/>
            <w:bottom w:val="none" w:sz="0" w:space="0" w:color="auto"/>
            <w:right w:val="none" w:sz="0" w:space="0" w:color="auto"/>
          </w:divBdr>
          <w:divsChild>
            <w:div w:id="1315715481">
              <w:marLeft w:val="0"/>
              <w:marRight w:val="0"/>
              <w:marTop w:val="0"/>
              <w:marBottom w:val="0"/>
              <w:divBdr>
                <w:top w:val="none" w:sz="0" w:space="0" w:color="auto"/>
                <w:left w:val="none" w:sz="0" w:space="0" w:color="auto"/>
                <w:bottom w:val="none" w:sz="0" w:space="0" w:color="auto"/>
                <w:right w:val="none" w:sz="0" w:space="0" w:color="auto"/>
              </w:divBdr>
              <w:divsChild>
                <w:div w:id="19286937">
                  <w:marLeft w:val="0"/>
                  <w:marRight w:val="0"/>
                  <w:marTop w:val="0"/>
                  <w:marBottom w:val="0"/>
                  <w:divBdr>
                    <w:top w:val="none" w:sz="0" w:space="0" w:color="auto"/>
                    <w:left w:val="none" w:sz="0" w:space="0" w:color="auto"/>
                    <w:bottom w:val="none" w:sz="0" w:space="0" w:color="auto"/>
                    <w:right w:val="none" w:sz="0" w:space="0" w:color="auto"/>
                  </w:divBdr>
                  <w:divsChild>
                    <w:div w:id="1607887239">
                      <w:marLeft w:val="0"/>
                      <w:marRight w:val="0"/>
                      <w:marTop w:val="0"/>
                      <w:marBottom w:val="0"/>
                      <w:divBdr>
                        <w:top w:val="none" w:sz="0" w:space="0" w:color="auto"/>
                        <w:left w:val="none" w:sz="0" w:space="0" w:color="auto"/>
                        <w:bottom w:val="none" w:sz="0" w:space="0" w:color="auto"/>
                        <w:right w:val="none" w:sz="0" w:space="0" w:color="auto"/>
                      </w:divBdr>
                      <w:divsChild>
                        <w:div w:id="1206137605">
                          <w:marLeft w:val="0"/>
                          <w:marRight w:val="0"/>
                          <w:marTop w:val="0"/>
                          <w:marBottom w:val="0"/>
                          <w:divBdr>
                            <w:top w:val="none" w:sz="0" w:space="0" w:color="auto"/>
                            <w:left w:val="none" w:sz="0" w:space="0" w:color="auto"/>
                            <w:bottom w:val="none" w:sz="0" w:space="0" w:color="auto"/>
                            <w:right w:val="none" w:sz="0" w:space="0" w:color="auto"/>
                          </w:divBdr>
                          <w:divsChild>
                            <w:div w:id="119769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1619720">
      <w:bodyDiv w:val="1"/>
      <w:marLeft w:val="0"/>
      <w:marRight w:val="0"/>
      <w:marTop w:val="0"/>
      <w:marBottom w:val="0"/>
      <w:divBdr>
        <w:top w:val="none" w:sz="0" w:space="0" w:color="auto"/>
        <w:left w:val="none" w:sz="0" w:space="0" w:color="auto"/>
        <w:bottom w:val="none" w:sz="0" w:space="0" w:color="auto"/>
        <w:right w:val="none" w:sz="0" w:space="0" w:color="auto"/>
      </w:divBdr>
    </w:div>
    <w:div w:id="266162785">
      <w:bodyDiv w:val="1"/>
      <w:marLeft w:val="0"/>
      <w:marRight w:val="0"/>
      <w:marTop w:val="0"/>
      <w:marBottom w:val="0"/>
      <w:divBdr>
        <w:top w:val="none" w:sz="0" w:space="0" w:color="auto"/>
        <w:left w:val="none" w:sz="0" w:space="0" w:color="auto"/>
        <w:bottom w:val="none" w:sz="0" w:space="0" w:color="auto"/>
        <w:right w:val="none" w:sz="0" w:space="0" w:color="auto"/>
      </w:divBdr>
    </w:div>
    <w:div w:id="267933890">
      <w:bodyDiv w:val="1"/>
      <w:marLeft w:val="0"/>
      <w:marRight w:val="0"/>
      <w:marTop w:val="0"/>
      <w:marBottom w:val="0"/>
      <w:divBdr>
        <w:top w:val="none" w:sz="0" w:space="0" w:color="auto"/>
        <w:left w:val="none" w:sz="0" w:space="0" w:color="auto"/>
        <w:bottom w:val="none" w:sz="0" w:space="0" w:color="auto"/>
        <w:right w:val="none" w:sz="0" w:space="0" w:color="auto"/>
      </w:divBdr>
    </w:div>
    <w:div w:id="299070459">
      <w:bodyDiv w:val="1"/>
      <w:marLeft w:val="0"/>
      <w:marRight w:val="0"/>
      <w:marTop w:val="0"/>
      <w:marBottom w:val="0"/>
      <w:divBdr>
        <w:top w:val="none" w:sz="0" w:space="0" w:color="auto"/>
        <w:left w:val="none" w:sz="0" w:space="0" w:color="auto"/>
        <w:bottom w:val="none" w:sz="0" w:space="0" w:color="auto"/>
        <w:right w:val="none" w:sz="0" w:space="0" w:color="auto"/>
      </w:divBdr>
    </w:div>
    <w:div w:id="331031167">
      <w:bodyDiv w:val="1"/>
      <w:marLeft w:val="0"/>
      <w:marRight w:val="0"/>
      <w:marTop w:val="0"/>
      <w:marBottom w:val="0"/>
      <w:divBdr>
        <w:top w:val="none" w:sz="0" w:space="0" w:color="auto"/>
        <w:left w:val="none" w:sz="0" w:space="0" w:color="auto"/>
        <w:bottom w:val="none" w:sz="0" w:space="0" w:color="auto"/>
        <w:right w:val="none" w:sz="0" w:space="0" w:color="auto"/>
      </w:divBdr>
    </w:div>
    <w:div w:id="358361754">
      <w:bodyDiv w:val="1"/>
      <w:marLeft w:val="0"/>
      <w:marRight w:val="0"/>
      <w:marTop w:val="0"/>
      <w:marBottom w:val="0"/>
      <w:divBdr>
        <w:top w:val="none" w:sz="0" w:space="0" w:color="auto"/>
        <w:left w:val="none" w:sz="0" w:space="0" w:color="auto"/>
        <w:bottom w:val="none" w:sz="0" w:space="0" w:color="auto"/>
        <w:right w:val="none" w:sz="0" w:space="0" w:color="auto"/>
      </w:divBdr>
    </w:div>
    <w:div w:id="359746965">
      <w:bodyDiv w:val="1"/>
      <w:marLeft w:val="0"/>
      <w:marRight w:val="0"/>
      <w:marTop w:val="0"/>
      <w:marBottom w:val="0"/>
      <w:divBdr>
        <w:top w:val="none" w:sz="0" w:space="0" w:color="auto"/>
        <w:left w:val="none" w:sz="0" w:space="0" w:color="auto"/>
        <w:bottom w:val="none" w:sz="0" w:space="0" w:color="auto"/>
        <w:right w:val="none" w:sz="0" w:space="0" w:color="auto"/>
      </w:divBdr>
    </w:div>
    <w:div w:id="405155618">
      <w:bodyDiv w:val="1"/>
      <w:marLeft w:val="0"/>
      <w:marRight w:val="0"/>
      <w:marTop w:val="0"/>
      <w:marBottom w:val="0"/>
      <w:divBdr>
        <w:top w:val="none" w:sz="0" w:space="0" w:color="auto"/>
        <w:left w:val="none" w:sz="0" w:space="0" w:color="auto"/>
        <w:bottom w:val="none" w:sz="0" w:space="0" w:color="auto"/>
        <w:right w:val="none" w:sz="0" w:space="0" w:color="auto"/>
      </w:divBdr>
    </w:div>
    <w:div w:id="445807231">
      <w:bodyDiv w:val="1"/>
      <w:marLeft w:val="0"/>
      <w:marRight w:val="0"/>
      <w:marTop w:val="0"/>
      <w:marBottom w:val="0"/>
      <w:divBdr>
        <w:top w:val="none" w:sz="0" w:space="0" w:color="auto"/>
        <w:left w:val="none" w:sz="0" w:space="0" w:color="auto"/>
        <w:bottom w:val="none" w:sz="0" w:space="0" w:color="auto"/>
        <w:right w:val="none" w:sz="0" w:space="0" w:color="auto"/>
      </w:divBdr>
    </w:div>
    <w:div w:id="485514483">
      <w:bodyDiv w:val="1"/>
      <w:marLeft w:val="0"/>
      <w:marRight w:val="0"/>
      <w:marTop w:val="0"/>
      <w:marBottom w:val="0"/>
      <w:divBdr>
        <w:top w:val="none" w:sz="0" w:space="0" w:color="auto"/>
        <w:left w:val="none" w:sz="0" w:space="0" w:color="auto"/>
        <w:bottom w:val="none" w:sz="0" w:space="0" w:color="auto"/>
        <w:right w:val="none" w:sz="0" w:space="0" w:color="auto"/>
      </w:divBdr>
    </w:div>
    <w:div w:id="489948948">
      <w:bodyDiv w:val="1"/>
      <w:marLeft w:val="0"/>
      <w:marRight w:val="0"/>
      <w:marTop w:val="0"/>
      <w:marBottom w:val="0"/>
      <w:divBdr>
        <w:top w:val="none" w:sz="0" w:space="0" w:color="auto"/>
        <w:left w:val="none" w:sz="0" w:space="0" w:color="auto"/>
        <w:bottom w:val="none" w:sz="0" w:space="0" w:color="auto"/>
        <w:right w:val="none" w:sz="0" w:space="0" w:color="auto"/>
      </w:divBdr>
    </w:div>
    <w:div w:id="583951980">
      <w:bodyDiv w:val="1"/>
      <w:marLeft w:val="0"/>
      <w:marRight w:val="0"/>
      <w:marTop w:val="0"/>
      <w:marBottom w:val="0"/>
      <w:divBdr>
        <w:top w:val="none" w:sz="0" w:space="0" w:color="auto"/>
        <w:left w:val="none" w:sz="0" w:space="0" w:color="auto"/>
        <w:bottom w:val="none" w:sz="0" w:space="0" w:color="auto"/>
        <w:right w:val="none" w:sz="0" w:space="0" w:color="auto"/>
      </w:divBdr>
    </w:div>
    <w:div w:id="590160097">
      <w:bodyDiv w:val="1"/>
      <w:marLeft w:val="0"/>
      <w:marRight w:val="0"/>
      <w:marTop w:val="0"/>
      <w:marBottom w:val="0"/>
      <w:divBdr>
        <w:top w:val="none" w:sz="0" w:space="0" w:color="auto"/>
        <w:left w:val="none" w:sz="0" w:space="0" w:color="auto"/>
        <w:bottom w:val="none" w:sz="0" w:space="0" w:color="auto"/>
        <w:right w:val="none" w:sz="0" w:space="0" w:color="auto"/>
      </w:divBdr>
    </w:div>
    <w:div w:id="593830336">
      <w:bodyDiv w:val="1"/>
      <w:marLeft w:val="0"/>
      <w:marRight w:val="0"/>
      <w:marTop w:val="0"/>
      <w:marBottom w:val="0"/>
      <w:divBdr>
        <w:top w:val="none" w:sz="0" w:space="0" w:color="auto"/>
        <w:left w:val="none" w:sz="0" w:space="0" w:color="auto"/>
        <w:bottom w:val="none" w:sz="0" w:space="0" w:color="auto"/>
        <w:right w:val="none" w:sz="0" w:space="0" w:color="auto"/>
      </w:divBdr>
    </w:div>
    <w:div w:id="604773448">
      <w:bodyDiv w:val="1"/>
      <w:marLeft w:val="0"/>
      <w:marRight w:val="0"/>
      <w:marTop w:val="0"/>
      <w:marBottom w:val="0"/>
      <w:divBdr>
        <w:top w:val="none" w:sz="0" w:space="0" w:color="auto"/>
        <w:left w:val="none" w:sz="0" w:space="0" w:color="auto"/>
        <w:bottom w:val="none" w:sz="0" w:space="0" w:color="auto"/>
        <w:right w:val="none" w:sz="0" w:space="0" w:color="auto"/>
      </w:divBdr>
    </w:div>
    <w:div w:id="605968125">
      <w:bodyDiv w:val="1"/>
      <w:marLeft w:val="0"/>
      <w:marRight w:val="0"/>
      <w:marTop w:val="0"/>
      <w:marBottom w:val="0"/>
      <w:divBdr>
        <w:top w:val="none" w:sz="0" w:space="0" w:color="auto"/>
        <w:left w:val="none" w:sz="0" w:space="0" w:color="auto"/>
        <w:bottom w:val="none" w:sz="0" w:space="0" w:color="auto"/>
        <w:right w:val="none" w:sz="0" w:space="0" w:color="auto"/>
      </w:divBdr>
    </w:div>
    <w:div w:id="624315781">
      <w:bodyDiv w:val="1"/>
      <w:marLeft w:val="0"/>
      <w:marRight w:val="0"/>
      <w:marTop w:val="0"/>
      <w:marBottom w:val="0"/>
      <w:divBdr>
        <w:top w:val="none" w:sz="0" w:space="0" w:color="auto"/>
        <w:left w:val="none" w:sz="0" w:space="0" w:color="auto"/>
        <w:bottom w:val="none" w:sz="0" w:space="0" w:color="auto"/>
        <w:right w:val="none" w:sz="0" w:space="0" w:color="auto"/>
      </w:divBdr>
    </w:div>
    <w:div w:id="629745179">
      <w:bodyDiv w:val="1"/>
      <w:marLeft w:val="0"/>
      <w:marRight w:val="0"/>
      <w:marTop w:val="0"/>
      <w:marBottom w:val="0"/>
      <w:divBdr>
        <w:top w:val="none" w:sz="0" w:space="0" w:color="auto"/>
        <w:left w:val="none" w:sz="0" w:space="0" w:color="auto"/>
        <w:bottom w:val="none" w:sz="0" w:space="0" w:color="auto"/>
        <w:right w:val="none" w:sz="0" w:space="0" w:color="auto"/>
      </w:divBdr>
    </w:div>
    <w:div w:id="641423663">
      <w:bodyDiv w:val="1"/>
      <w:marLeft w:val="0"/>
      <w:marRight w:val="0"/>
      <w:marTop w:val="0"/>
      <w:marBottom w:val="0"/>
      <w:divBdr>
        <w:top w:val="none" w:sz="0" w:space="0" w:color="auto"/>
        <w:left w:val="none" w:sz="0" w:space="0" w:color="auto"/>
        <w:bottom w:val="none" w:sz="0" w:space="0" w:color="auto"/>
        <w:right w:val="none" w:sz="0" w:space="0" w:color="auto"/>
      </w:divBdr>
    </w:div>
    <w:div w:id="651525132">
      <w:bodyDiv w:val="1"/>
      <w:marLeft w:val="0"/>
      <w:marRight w:val="0"/>
      <w:marTop w:val="0"/>
      <w:marBottom w:val="0"/>
      <w:divBdr>
        <w:top w:val="none" w:sz="0" w:space="0" w:color="auto"/>
        <w:left w:val="none" w:sz="0" w:space="0" w:color="auto"/>
        <w:bottom w:val="none" w:sz="0" w:space="0" w:color="auto"/>
        <w:right w:val="none" w:sz="0" w:space="0" w:color="auto"/>
      </w:divBdr>
    </w:div>
    <w:div w:id="686098483">
      <w:bodyDiv w:val="1"/>
      <w:marLeft w:val="0"/>
      <w:marRight w:val="0"/>
      <w:marTop w:val="0"/>
      <w:marBottom w:val="0"/>
      <w:divBdr>
        <w:top w:val="none" w:sz="0" w:space="0" w:color="auto"/>
        <w:left w:val="none" w:sz="0" w:space="0" w:color="auto"/>
        <w:bottom w:val="none" w:sz="0" w:space="0" w:color="auto"/>
        <w:right w:val="none" w:sz="0" w:space="0" w:color="auto"/>
      </w:divBdr>
    </w:div>
    <w:div w:id="700713514">
      <w:bodyDiv w:val="1"/>
      <w:marLeft w:val="0"/>
      <w:marRight w:val="0"/>
      <w:marTop w:val="0"/>
      <w:marBottom w:val="0"/>
      <w:divBdr>
        <w:top w:val="none" w:sz="0" w:space="0" w:color="auto"/>
        <w:left w:val="none" w:sz="0" w:space="0" w:color="auto"/>
        <w:bottom w:val="none" w:sz="0" w:space="0" w:color="auto"/>
        <w:right w:val="none" w:sz="0" w:space="0" w:color="auto"/>
      </w:divBdr>
    </w:div>
    <w:div w:id="755127168">
      <w:bodyDiv w:val="1"/>
      <w:marLeft w:val="0"/>
      <w:marRight w:val="0"/>
      <w:marTop w:val="0"/>
      <w:marBottom w:val="0"/>
      <w:divBdr>
        <w:top w:val="none" w:sz="0" w:space="0" w:color="auto"/>
        <w:left w:val="none" w:sz="0" w:space="0" w:color="auto"/>
        <w:bottom w:val="none" w:sz="0" w:space="0" w:color="auto"/>
        <w:right w:val="none" w:sz="0" w:space="0" w:color="auto"/>
      </w:divBdr>
    </w:div>
    <w:div w:id="762802560">
      <w:bodyDiv w:val="1"/>
      <w:marLeft w:val="0"/>
      <w:marRight w:val="0"/>
      <w:marTop w:val="0"/>
      <w:marBottom w:val="0"/>
      <w:divBdr>
        <w:top w:val="none" w:sz="0" w:space="0" w:color="auto"/>
        <w:left w:val="none" w:sz="0" w:space="0" w:color="auto"/>
        <w:bottom w:val="none" w:sz="0" w:space="0" w:color="auto"/>
        <w:right w:val="none" w:sz="0" w:space="0" w:color="auto"/>
      </w:divBdr>
    </w:div>
    <w:div w:id="858350462">
      <w:bodyDiv w:val="1"/>
      <w:marLeft w:val="0"/>
      <w:marRight w:val="0"/>
      <w:marTop w:val="0"/>
      <w:marBottom w:val="0"/>
      <w:divBdr>
        <w:top w:val="none" w:sz="0" w:space="0" w:color="auto"/>
        <w:left w:val="none" w:sz="0" w:space="0" w:color="auto"/>
        <w:bottom w:val="none" w:sz="0" w:space="0" w:color="auto"/>
        <w:right w:val="none" w:sz="0" w:space="0" w:color="auto"/>
      </w:divBdr>
    </w:div>
    <w:div w:id="863130609">
      <w:bodyDiv w:val="1"/>
      <w:marLeft w:val="0"/>
      <w:marRight w:val="0"/>
      <w:marTop w:val="0"/>
      <w:marBottom w:val="0"/>
      <w:divBdr>
        <w:top w:val="none" w:sz="0" w:space="0" w:color="auto"/>
        <w:left w:val="none" w:sz="0" w:space="0" w:color="auto"/>
        <w:bottom w:val="none" w:sz="0" w:space="0" w:color="auto"/>
        <w:right w:val="none" w:sz="0" w:space="0" w:color="auto"/>
      </w:divBdr>
    </w:div>
    <w:div w:id="869415839">
      <w:bodyDiv w:val="1"/>
      <w:marLeft w:val="0"/>
      <w:marRight w:val="0"/>
      <w:marTop w:val="0"/>
      <w:marBottom w:val="0"/>
      <w:divBdr>
        <w:top w:val="none" w:sz="0" w:space="0" w:color="auto"/>
        <w:left w:val="none" w:sz="0" w:space="0" w:color="auto"/>
        <w:bottom w:val="none" w:sz="0" w:space="0" w:color="auto"/>
        <w:right w:val="none" w:sz="0" w:space="0" w:color="auto"/>
      </w:divBdr>
    </w:div>
    <w:div w:id="882671071">
      <w:bodyDiv w:val="1"/>
      <w:marLeft w:val="0"/>
      <w:marRight w:val="0"/>
      <w:marTop w:val="0"/>
      <w:marBottom w:val="0"/>
      <w:divBdr>
        <w:top w:val="none" w:sz="0" w:space="0" w:color="auto"/>
        <w:left w:val="none" w:sz="0" w:space="0" w:color="auto"/>
        <w:bottom w:val="none" w:sz="0" w:space="0" w:color="auto"/>
        <w:right w:val="none" w:sz="0" w:space="0" w:color="auto"/>
      </w:divBdr>
      <w:divsChild>
        <w:div w:id="2045978228">
          <w:marLeft w:val="0"/>
          <w:marRight w:val="0"/>
          <w:marTop w:val="0"/>
          <w:marBottom w:val="0"/>
          <w:divBdr>
            <w:top w:val="none" w:sz="0" w:space="0" w:color="auto"/>
            <w:left w:val="none" w:sz="0" w:space="0" w:color="auto"/>
            <w:bottom w:val="none" w:sz="0" w:space="0" w:color="auto"/>
            <w:right w:val="none" w:sz="0" w:space="0" w:color="auto"/>
          </w:divBdr>
          <w:divsChild>
            <w:div w:id="726298818">
              <w:marLeft w:val="0"/>
              <w:marRight w:val="0"/>
              <w:marTop w:val="0"/>
              <w:marBottom w:val="0"/>
              <w:divBdr>
                <w:top w:val="none" w:sz="0" w:space="0" w:color="auto"/>
                <w:left w:val="none" w:sz="0" w:space="0" w:color="auto"/>
                <w:bottom w:val="none" w:sz="0" w:space="0" w:color="auto"/>
                <w:right w:val="none" w:sz="0" w:space="0" w:color="auto"/>
              </w:divBdr>
              <w:divsChild>
                <w:div w:id="863060003">
                  <w:marLeft w:val="0"/>
                  <w:marRight w:val="0"/>
                  <w:marTop w:val="0"/>
                  <w:marBottom w:val="0"/>
                  <w:divBdr>
                    <w:top w:val="none" w:sz="0" w:space="0" w:color="auto"/>
                    <w:left w:val="none" w:sz="0" w:space="0" w:color="auto"/>
                    <w:bottom w:val="none" w:sz="0" w:space="0" w:color="auto"/>
                    <w:right w:val="none" w:sz="0" w:space="0" w:color="auto"/>
                  </w:divBdr>
                  <w:divsChild>
                    <w:div w:id="823853821">
                      <w:marLeft w:val="0"/>
                      <w:marRight w:val="0"/>
                      <w:marTop w:val="0"/>
                      <w:marBottom w:val="0"/>
                      <w:divBdr>
                        <w:top w:val="none" w:sz="0" w:space="0" w:color="auto"/>
                        <w:left w:val="none" w:sz="0" w:space="0" w:color="auto"/>
                        <w:bottom w:val="none" w:sz="0" w:space="0" w:color="auto"/>
                        <w:right w:val="none" w:sz="0" w:space="0" w:color="auto"/>
                      </w:divBdr>
                      <w:divsChild>
                        <w:div w:id="1396969631">
                          <w:marLeft w:val="0"/>
                          <w:marRight w:val="0"/>
                          <w:marTop w:val="0"/>
                          <w:marBottom w:val="0"/>
                          <w:divBdr>
                            <w:top w:val="none" w:sz="0" w:space="0" w:color="auto"/>
                            <w:left w:val="none" w:sz="0" w:space="0" w:color="auto"/>
                            <w:bottom w:val="none" w:sz="0" w:space="0" w:color="auto"/>
                            <w:right w:val="none" w:sz="0" w:space="0" w:color="auto"/>
                          </w:divBdr>
                          <w:divsChild>
                            <w:div w:id="875003215">
                              <w:marLeft w:val="0"/>
                              <w:marRight w:val="0"/>
                              <w:marTop w:val="0"/>
                              <w:marBottom w:val="0"/>
                              <w:divBdr>
                                <w:top w:val="none" w:sz="0" w:space="0" w:color="auto"/>
                                <w:left w:val="none" w:sz="0" w:space="0" w:color="auto"/>
                                <w:bottom w:val="none" w:sz="0" w:space="0" w:color="auto"/>
                                <w:right w:val="none" w:sz="0" w:space="0" w:color="auto"/>
                              </w:divBdr>
                            </w:div>
                            <w:div w:id="211073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6189171">
      <w:bodyDiv w:val="1"/>
      <w:marLeft w:val="0"/>
      <w:marRight w:val="0"/>
      <w:marTop w:val="0"/>
      <w:marBottom w:val="0"/>
      <w:divBdr>
        <w:top w:val="none" w:sz="0" w:space="0" w:color="auto"/>
        <w:left w:val="none" w:sz="0" w:space="0" w:color="auto"/>
        <w:bottom w:val="none" w:sz="0" w:space="0" w:color="auto"/>
        <w:right w:val="none" w:sz="0" w:space="0" w:color="auto"/>
      </w:divBdr>
    </w:div>
    <w:div w:id="954949494">
      <w:bodyDiv w:val="1"/>
      <w:marLeft w:val="0"/>
      <w:marRight w:val="0"/>
      <w:marTop w:val="0"/>
      <w:marBottom w:val="0"/>
      <w:divBdr>
        <w:top w:val="none" w:sz="0" w:space="0" w:color="auto"/>
        <w:left w:val="none" w:sz="0" w:space="0" w:color="auto"/>
        <w:bottom w:val="none" w:sz="0" w:space="0" w:color="auto"/>
        <w:right w:val="none" w:sz="0" w:space="0" w:color="auto"/>
      </w:divBdr>
    </w:div>
    <w:div w:id="964308947">
      <w:bodyDiv w:val="1"/>
      <w:marLeft w:val="0"/>
      <w:marRight w:val="0"/>
      <w:marTop w:val="0"/>
      <w:marBottom w:val="0"/>
      <w:divBdr>
        <w:top w:val="none" w:sz="0" w:space="0" w:color="auto"/>
        <w:left w:val="none" w:sz="0" w:space="0" w:color="auto"/>
        <w:bottom w:val="none" w:sz="0" w:space="0" w:color="auto"/>
        <w:right w:val="none" w:sz="0" w:space="0" w:color="auto"/>
      </w:divBdr>
    </w:div>
    <w:div w:id="966088730">
      <w:bodyDiv w:val="1"/>
      <w:marLeft w:val="0"/>
      <w:marRight w:val="0"/>
      <w:marTop w:val="0"/>
      <w:marBottom w:val="0"/>
      <w:divBdr>
        <w:top w:val="none" w:sz="0" w:space="0" w:color="auto"/>
        <w:left w:val="none" w:sz="0" w:space="0" w:color="auto"/>
        <w:bottom w:val="none" w:sz="0" w:space="0" w:color="auto"/>
        <w:right w:val="none" w:sz="0" w:space="0" w:color="auto"/>
      </w:divBdr>
    </w:div>
    <w:div w:id="970592760">
      <w:bodyDiv w:val="1"/>
      <w:marLeft w:val="0"/>
      <w:marRight w:val="0"/>
      <w:marTop w:val="0"/>
      <w:marBottom w:val="0"/>
      <w:divBdr>
        <w:top w:val="none" w:sz="0" w:space="0" w:color="auto"/>
        <w:left w:val="none" w:sz="0" w:space="0" w:color="auto"/>
        <w:bottom w:val="none" w:sz="0" w:space="0" w:color="auto"/>
        <w:right w:val="none" w:sz="0" w:space="0" w:color="auto"/>
      </w:divBdr>
    </w:div>
    <w:div w:id="975528590">
      <w:bodyDiv w:val="1"/>
      <w:marLeft w:val="0"/>
      <w:marRight w:val="0"/>
      <w:marTop w:val="0"/>
      <w:marBottom w:val="0"/>
      <w:divBdr>
        <w:top w:val="none" w:sz="0" w:space="0" w:color="auto"/>
        <w:left w:val="none" w:sz="0" w:space="0" w:color="auto"/>
        <w:bottom w:val="none" w:sz="0" w:space="0" w:color="auto"/>
        <w:right w:val="none" w:sz="0" w:space="0" w:color="auto"/>
      </w:divBdr>
    </w:div>
    <w:div w:id="991517973">
      <w:bodyDiv w:val="1"/>
      <w:marLeft w:val="0"/>
      <w:marRight w:val="0"/>
      <w:marTop w:val="0"/>
      <w:marBottom w:val="0"/>
      <w:divBdr>
        <w:top w:val="none" w:sz="0" w:space="0" w:color="auto"/>
        <w:left w:val="none" w:sz="0" w:space="0" w:color="auto"/>
        <w:bottom w:val="none" w:sz="0" w:space="0" w:color="auto"/>
        <w:right w:val="none" w:sz="0" w:space="0" w:color="auto"/>
      </w:divBdr>
    </w:div>
    <w:div w:id="992875718">
      <w:bodyDiv w:val="1"/>
      <w:marLeft w:val="0"/>
      <w:marRight w:val="0"/>
      <w:marTop w:val="0"/>
      <w:marBottom w:val="0"/>
      <w:divBdr>
        <w:top w:val="none" w:sz="0" w:space="0" w:color="auto"/>
        <w:left w:val="none" w:sz="0" w:space="0" w:color="auto"/>
        <w:bottom w:val="none" w:sz="0" w:space="0" w:color="auto"/>
        <w:right w:val="none" w:sz="0" w:space="0" w:color="auto"/>
      </w:divBdr>
    </w:div>
    <w:div w:id="995306282">
      <w:bodyDiv w:val="1"/>
      <w:marLeft w:val="0"/>
      <w:marRight w:val="0"/>
      <w:marTop w:val="0"/>
      <w:marBottom w:val="0"/>
      <w:divBdr>
        <w:top w:val="none" w:sz="0" w:space="0" w:color="auto"/>
        <w:left w:val="none" w:sz="0" w:space="0" w:color="auto"/>
        <w:bottom w:val="none" w:sz="0" w:space="0" w:color="auto"/>
        <w:right w:val="none" w:sz="0" w:space="0" w:color="auto"/>
      </w:divBdr>
    </w:div>
    <w:div w:id="1044257083">
      <w:bodyDiv w:val="1"/>
      <w:marLeft w:val="0"/>
      <w:marRight w:val="0"/>
      <w:marTop w:val="0"/>
      <w:marBottom w:val="0"/>
      <w:divBdr>
        <w:top w:val="none" w:sz="0" w:space="0" w:color="auto"/>
        <w:left w:val="none" w:sz="0" w:space="0" w:color="auto"/>
        <w:bottom w:val="none" w:sz="0" w:space="0" w:color="auto"/>
        <w:right w:val="none" w:sz="0" w:space="0" w:color="auto"/>
      </w:divBdr>
    </w:div>
    <w:div w:id="1050375712">
      <w:bodyDiv w:val="1"/>
      <w:marLeft w:val="0"/>
      <w:marRight w:val="0"/>
      <w:marTop w:val="0"/>
      <w:marBottom w:val="0"/>
      <w:divBdr>
        <w:top w:val="none" w:sz="0" w:space="0" w:color="auto"/>
        <w:left w:val="none" w:sz="0" w:space="0" w:color="auto"/>
        <w:bottom w:val="none" w:sz="0" w:space="0" w:color="auto"/>
        <w:right w:val="none" w:sz="0" w:space="0" w:color="auto"/>
      </w:divBdr>
    </w:div>
    <w:div w:id="1054701413">
      <w:bodyDiv w:val="1"/>
      <w:marLeft w:val="0"/>
      <w:marRight w:val="0"/>
      <w:marTop w:val="0"/>
      <w:marBottom w:val="0"/>
      <w:divBdr>
        <w:top w:val="none" w:sz="0" w:space="0" w:color="auto"/>
        <w:left w:val="none" w:sz="0" w:space="0" w:color="auto"/>
        <w:bottom w:val="none" w:sz="0" w:space="0" w:color="auto"/>
        <w:right w:val="none" w:sz="0" w:space="0" w:color="auto"/>
      </w:divBdr>
    </w:div>
    <w:div w:id="1078791990">
      <w:bodyDiv w:val="1"/>
      <w:marLeft w:val="0"/>
      <w:marRight w:val="0"/>
      <w:marTop w:val="0"/>
      <w:marBottom w:val="0"/>
      <w:divBdr>
        <w:top w:val="none" w:sz="0" w:space="0" w:color="auto"/>
        <w:left w:val="none" w:sz="0" w:space="0" w:color="auto"/>
        <w:bottom w:val="none" w:sz="0" w:space="0" w:color="auto"/>
        <w:right w:val="none" w:sz="0" w:space="0" w:color="auto"/>
      </w:divBdr>
    </w:div>
    <w:div w:id="1085147598">
      <w:bodyDiv w:val="1"/>
      <w:marLeft w:val="0"/>
      <w:marRight w:val="0"/>
      <w:marTop w:val="0"/>
      <w:marBottom w:val="0"/>
      <w:divBdr>
        <w:top w:val="none" w:sz="0" w:space="0" w:color="auto"/>
        <w:left w:val="none" w:sz="0" w:space="0" w:color="auto"/>
        <w:bottom w:val="none" w:sz="0" w:space="0" w:color="auto"/>
        <w:right w:val="none" w:sz="0" w:space="0" w:color="auto"/>
      </w:divBdr>
      <w:divsChild>
        <w:div w:id="1073889338">
          <w:marLeft w:val="0"/>
          <w:marRight w:val="0"/>
          <w:marTop w:val="0"/>
          <w:marBottom w:val="0"/>
          <w:divBdr>
            <w:top w:val="none" w:sz="0" w:space="0" w:color="auto"/>
            <w:left w:val="none" w:sz="0" w:space="0" w:color="auto"/>
            <w:bottom w:val="none" w:sz="0" w:space="0" w:color="auto"/>
            <w:right w:val="none" w:sz="0" w:space="0" w:color="auto"/>
          </w:divBdr>
        </w:div>
        <w:div w:id="88040572">
          <w:marLeft w:val="0"/>
          <w:marRight w:val="0"/>
          <w:marTop w:val="0"/>
          <w:marBottom w:val="0"/>
          <w:divBdr>
            <w:top w:val="none" w:sz="0" w:space="0" w:color="auto"/>
            <w:left w:val="none" w:sz="0" w:space="0" w:color="auto"/>
            <w:bottom w:val="none" w:sz="0" w:space="0" w:color="auto"/>
            <w:right w:val="none" w:sz="0" w:space="0" w:color="auto"/>
          </w:divBdr>
          <w:divsChild>
            <w:div w:id="967856254">
              <w:marLeft w:val="0"/>
              <w:marRight w:val="0"/>
              <w:marTop w:val="0"/>
              <w:marBottom w:val="0"/>
              <w:divBdr>
                <w:top w:val="none" w:sz="0" w:space="0" w:color="auto"/>
                <w:left w:val="none" w:sz="0" w:space="0" w:color="auto"/>
                <w:bottom w:val="none" w:sz="0" w:space="0" w:color="auto"/>
                <w:right w:val="none" w:sz="0" w:space="0" w:color="auto"/>
              </w:divBdr>
              <w:divsChild>
                <w:div w:id="35385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462811">
          <w:marLeft w:val="0"/>
          <w:marRight w:val="0"/>
          <w:marTop w:val="0"/>
          <w:marBottom w:val="0"/>
          <w:divBdr>
            <w:top w:val="none" w:sz="0" w:space="0" w:color="auto"/>
            <w:left w:val="none" w:sz="0" w:space="0" w:color="auto"/>
            <w:bottom w:val="none" w:sz="0" w:space="0" w:color="auto"/>
            <w:right w:val="none" w:sz="0" w:space="0" w:color="auto"/>
          </w:divBdr>
        </w:div>
        <w:div w:id="1804620341">
          <w:marLeft w:val="0"/>
          <w:marRight w:val="0"/>
          <w:marTop w:val="0"/>
          <w:marBottom w:val="0"/>
          <w:divBdr>
            <w:top w:val="none" w:sz="0" w:space="0" w:color="auto"/>
            <w:left w:val="none" w:sz="0" w:space="0" w:color="auto"/>
            <w:bottom w:val="none" w:sz="0" w:space="0" w:color="auto"/>
            <w:right w:val="none" w:sz="0" w:space="0" w:color="auto"/>
          </w:divBdr>
          <w:divsChild>
            <w:div w:id="2050298313">
              <w:marLeft w:val="0"/>
              <w:marRight w:val="0"/>
              <w:marTop w:val="0"/>
              <w:marBottom w:val="0"/>
              <w:divBdr>
                <w:top w:val="none" w:sz="0" w:space="0" w:color="auto"/>
                <w:left w:val="none" w:sz="0" w:space="0" w:color="auto"/>
                <w:bottom w:val="none" w:sz="0" w:space="0" w:color="auto"/>
                <w:right w:val="none" w:sz="0" w:space="0" w:color="auto"/>
              </w:divBdr>
              <w:divsChild>
                <w:div w:id="25043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541009">
          <w:marLeft w:val="0"/>
          <w:marRight w:val="0"/>
          <w:marTop w:val="0"/>
          <w:marBottom w:val="0"/>
          <w:divBdr>
            <w:top w:val="none" w:sz="0" w:space="0" w:color="auto"/>
            <w:left w:val="none" w:sz="0" w:space="0" w:color="auto"/>
            <w:bottom w:val="none" w:sz="0" w:space="0" w:color="auto"/>
            <w:right w:val="none" w:sz="0" w:space="0" w:color="auto"/>
          </w:divBdr>
        </w:div>
        <w:div w:id="1346326034">
          <w:marLeft w:val="0"/>
          <w:marRight w:val="0"/>
          <w:marTop w:val="0"/>
          <w:marBottom w:val="0"/>
          <w:divBdr>
            <w:top w:val="none" w:sz="0" w:space="0" w:color="auto"/>
            <w:left w:val="none" w:sz="0" w:space="0" w:color="auto"/>
            <w:bottom w:val="none" w:sz="0" w:space="0" w:color="auto"/>
            <w:right w:val="none" w:sz="0" w:space="0" w:color="auto"/>
          </w:divBdr>
          <w:divsChild>
            <w:div w:id="1606690233">
              <w:marLeft w:val="0"/>
              <w:marRight w:val="0"/>
              <w:marTop w:val="0"/>
              <w:marBottom w:val="0"/>
              <w:divBdr>
                <w:top w:val="none" w:sz="0" w:space="0" w:color="auto"/>
                <w:left w:val="none" w:sz="0" w:space="0" w:color="auto"/>
                <w:bottom w:val="none" w:sz="0" w:space="0" w:color="auto"/>
                <w:right w:val="none" w:sz="0" w:space="0" w:color="auto"/>
              </w:divBdr>
              <w:divsChild>
                <w:div w:id="169033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02031">
          <w:marLeft w:val="0"/>
          <w:marRight w:val="0"/>
          <w:marTop w:val="0"/>
          <w:marBottom w:val="0"/>
          <w:divBdr>
            <w:top w:val="none" w:sz="0" w:space="0" w:color="auto"/>
            <w:left w:val="none" w:sz="0" w:space="0" w:color="auto"/>
            <w:bottom w:val="none" w:sz="0" w:space="0" w:color="auto"/>
            <w:right w:val="none" w:sz="0" w:space="0" w:color="auto"/>
          </w:divBdr>
        </w:div>
        <w:div w:id="1286499961">
          <w:marLeft w:val="0"/>
          <w:marRight w:val="0"/>
          <w:marTop w:val="0"/>
          <w:marBottom w:val="0"/>
          <w:divBdr>
            <w:top w:val="none" w:sz="0" w:space="0" w:color="auto"/>
            <w:left w:val="none" w:sz="0" w:space="0" w:color="auto"/>
            <w:bottom w:val="none" w:sz="0" w:space="0" w:color="auto"/>
            <w:right w:val="none" w:sz="0" w:space="0" w:color="auto"/>
          </w:divBdr>
          <w:divsChild>
            <w:div w:id="537741559">
              <w:marLeft w:val="0"/>
              <w:marRight w:val="0"/>
              <w:marTop w:val="0"/>
              <w:marBottom w:val="0"/>
              <w:divBdr>
                <w:top w:val="none" w:sz="0" w:space="0" w:color="auto"/>
                <w:left w:val="none" w:sz="0" w:space="0" w:color="auto"/>
                <w:bottom w:val="none" w:sz="0" w:space="0" w:color="auto"/>
                <w:right w:val="none" w:sz="0" w:space="0" w:color="auto"/>
              </w:divBdr>
              <w:divsChild>
                <w:div w:id="56761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601342">
          <w:marLeft w:val="0"/>
          <w:marRight w:val="0"/>
          <w:marTop w:val="0"/>
          <w:marBottom w:val="0"/>
          <w:divBdr>
            <w:top w:val="none" w:sz="0" w:space="0" w:color="auto"/>
            <w:left w:val="none" w:sz="0" w:space="0" w:color="auto"/>
            <w:bottom w:val="none" w:sz="0" w:space="0" w:color="auto"/>
            <w:right w:val="none" w:sz="0" w:space="0" w:color="auto"/>
          </w:divBdr>
        </w:div>
        <w:div w:id="1270317003">
          <w:marLeft w:val="0"/>
          <w:marRight w:val="0"/>
          <w:marTop w:val="0"/>
          <w:marBottom w:val="0"/>
          <w:divBdr>
            <w:top w:val="none" w:sz="0" w:space="0" w:color="auto"/>
            <w:left w:val="none" w:sz="0" w:space="0" w:color="auto"/>
            <w:bottom w:val="none" w:sz="0" w:space="0" w:color="auto"/>
            <w:right w:val="none" w:sz="0" w:space="0" w:color="auto"/>
          </w:divBdr>
          <w:divsChild>
            <w:div w:id="973371836">
              <w:marLeft w:val="0"/>
              <w:marRight w:val="0"/>
              <w:marTop w:val="0"/>
              <w:marBottom w:val="0"/>
              <w:divBdr>
                <w:top w:val="none" w:sz="0" w:space="0" w:color="auto"/>
                <w:left w:val="none" w:sz="0" w:space="0" w:color="auto"/>
                <w:bottom w:val="none" w:sz="0" w:space="0" w:color="auto"/>
                <w:right w:val="none" w:sz="0" w:space="0" w:color="auto"/>
              </w:divBdr>
              <w:divsChild>
                <w:div w:id="19322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154052">
      <w:bodyDiv w:val="1"/>
      <w:marLeft w:val="0"/>
      <w:marRight w:val="0"/>
      <w:marTop w:val="0"/>
      <w:marBottom w:val="0"/>
      <w:divBdr>
        <w:top w:val="none" w:sz="0" w:space="0" w:color="auto"/>
        <w:left w:val="none" w:sz="0" w:space="0" w:color="auto"/>
        <w:bottom w:val="none" w:sz="0" w:space="0" w:color="auto"/>
        <w:right w:val="none" w:sz="0" w:space="0" w:color="auto"/>
      </w:divBdr>
    </w:div>
    <w:div w:id="1088888890">
      <w:bodyDiv w:val="1"/>
      <w:marLeft w:val="0"/>
      <w:marRight w:val="0"/>
      <w:marTop w:val="0"/>
      <w:marBottom w:val="0"/>
      <w:divBdr>
        <w:top w:val="none" w:sz="0" w:space="0" w:color="auto"/>
        <w:left w:val="none" w:sz="0" w:space="0" w:color="auto"/>
        <w:bottom w:val="none" w:sz="0" w:space="0" w:color="auto"/>
        <w:right w:val="none" w:sz="0" w:space="0" w:color="auto"/>
      </w:divBdr>
    </w:div>
    <w:div w:id="1093088475">
      <w:bodyDiv w:val="1"/>
      <w:marLeft w:val="0"/>
      <w:marRight w:val="0"/>
      <w:marTop w:val="0"/>
      <w:marBottom w:val="0"/>
      <w:divBdr>
        <w:top w:val="none" w:sz="0" w:space="0" w:color="auto"/>
        <w:left w:val="none" w:sz="0" w:space="0" w:color="auto"/>
        <w:bottom w:val="none" w:sz="0" w:space="0" w:color="auto"/>
        <w:right w:val="none" w:sz="0" w:space="0" w:color="auto"/>
      </w:divBdr>
    </w:div>
    <w:div w:id="1101299528">
      <w:bodyDiv w:val="1"/>
      <w:marLeft w:val="0"/>
      <w:marRight w:val="0"/>
      <w:marTop w:val="0"/>
      <w:marBottom w:val="0"/>
      <w:divBdr>
        <w:top w:val="none" w:sz="0" w:space="0" w:color="auto"/>
        <w:left w:val="none" w:sz="0" w:space="0" w:color="auto"/>
        <w:bottom w:val="none" w:sz="0" w:space="0" w:color="auto"/>
        <w:right w:val="none" w:sz="0" w:space="0" w:color="auto"/>
      </w:divBdr>
    </w:div>
    <w:div w:id="1119910915">
      <w:bodyDiv w:val="1"/>
      <w:marLeft w:val="0"/>
      <w:marRight w:val="0"/>
      <w:marTop w:val="0"/>
      <w:marBottom w:val="0"/>
      <w:divBdr>
        <w:top w:val="none" w:sz="0" w:space="0" w:color="auto"/>
        <w:left w:val="none" w:sz="0" w:space="0" w:color="auto"/>
        <w:bottom w:val="none" w:sz="0" w:space="0" w:color="auto"/>
        <w:right w:val="none" w:sz="0" w:space="0" w:color="auto"/>
      </w:divBdr>
    </w:div>
    <w:div w:id="1136532144">
      <w:bodyDiv w:val="1"/>
      <w:marLeft w:val="0"/>
      <w:marRight w:val="0"/>
      <w:marTop w:val="0"/>
      <w:marBottom w:val="0"/>
      <w:divBdr>
        <w:top w:val="none" w:sz="0" w:space="0" w:color="auto"/>
        <w:left w:val="none" w:sz="0" w:space="0" w:color="auto"/>
        <w:bottom w:val="none" w:sz="0" w:space="0" w:color="auto"/>
        <w:right w:val="none" w:sz="0" w:space="0" w:color="auto"/>
      </w:divBdr>
    </w:div>
    <w:div w:id="1139687998">
      <w:bodyDiv w:val="1"/>
      <w:marLeft w:val="0"/>
      <w:marRight w:val="0"/>
      <w:marTop w:val="0"/>
      <w:marBottom w:val="0"/>
      <w:divBdr>
        <w:top w:val="none" w:sz="0" w:space="0" w:color="auto"/>
        <w:left w:val="none" w:sz="0" w:space="0" w:color="auto"/>
        <w:bottom w:val="none" w:sz="0" w:space="0" w:color="auto"/>
        <w:right w:val="none" w:sz="0" w:space="0" w:color="auto"/>
      </w:divBdr>
      <w:divsChild>
        <w:div w:id="2146005785">
          <w:marLeft w:val="0"/>
          <w:marRight w:val="0"/>
          <w:marTop w:val="0"/>
          <w:marBottom w:val="0"/>
          <w:divBdr>
            <w:top w:val="none" w:sz="0" w:space="0" w:color="auto"/>
            <w:left w:val="none" w:sz="0" w:space="0" w:color="auto"/>
            <w:bottom w:val="none" w:sz="0" w:space="0" w:color="auto"/>
            <w:right w:val="none" w:sz="0" w:space="0" w:color="auto"/>
          </w:divBdr>
        </w:div>
        <w:div w:id="909997416">
          <w:marLeft w:val="0"/>
          <w:marRight w:val="0"/>
          <w:marTop w:val="0"/>
          <w:marBottom w:val="0"/>
          <w:divBdr>
            <w:top w:val="none" w:sz="0" w:space="0" w:color="auto"/>
            <w:left w:val="none" w:sz="0" w:space="0" w:color="auto"/>
            <w:bottom w:val="none" w:sz="0" w:space="0" w:color="auto"/>
            <w:right w:val="none" w:sz="0" w:space="0" w:color="auto"/>
          </w:divBdr>
        </w:div>
      </w:divsChild>
    </w:div>
    <w:div w:id="1148208117">
      <w:bodyDiv w:val="1"/>
      <w:marLeft w:val="0"/>
      <w:marRight w:val="0"/>
      <w:marTop w:val="0"/>
      <w:marBottom w:val="0"/>
      <w:divBdr>
        <w:top w:val="none" w:sz="0" w:space="0" w:color="auto"/>
        <w:left w:val="none" w:sz="0" w:space="0" w:color="auto"/>
        <w:bottom w:val="none" w:sz="0" w:space="0" w:color="auto"/>
        <w:right w:val="none" w:sz="0" w:space="0" w:color="auto"/>
      </w:divBdr>
    </w:div>
    <w:div w:id="1160732505">
      <w:bodyDiv w:val="1"/>
      <w:marLeft w:val="0"/>
      <w:marRight w:val="0"/>
      <w:marTop w:val="0"/>
      <w:marBottom w:val="0"/>
      <w:divBdr>
        <w:top w:val="none" w:sz="0" w:space="0" w:color="auto"/>
        <w:left w:val="none" w:sz="0" w:space="0" w:color="auto"/>
        <w:bottom w:val="none" w:sz="0" w:space="0" w:color="auto"/>
        <w:right w:val="none" w:sz="0" w:space="0" w:color="auto"/>
      </w:divBdr>
    </w:div>
    <w:div w:id="1199204716">
      <w:bodyDiv w:val="1"/>
      <w:marLeft w:val="0"/>
      <w:marRight w:val="0"/>
      <w:marTop w:val="0"/>
      <w:marBottom w:val="0"/>
      <w:divBdr>
        <w:top w:val="none" w:sz="0" w:space="0" w:color="auto"/>
        <w:left w:val="none" w:sz="0" w:space="0" w:color="auto"/>
        <w:bottom w:val="none" w:sz="0" w:space="0" w:color="auto"/>
        <w:right w:val="none" w:sz="0" w:space="0" w:color="auto"/>
      </w:divBdr>
    </w:div>
    <w:div w:id="1201551592">
      <w:bodyDiv w:val="1"/>
      <w:marLeft w:val="0"/>
      <w:marRight w:val="0"/>
      <w:marTop w:val="0"/>
      <w:marBottom w:val="0"/>
      <w:divBdr>
        <w:top w:val="none" w:sz="0" w:space="0" w:color="auto"/>
        <w:left w:val="none" w:sz="0" w:space="0" w:color="auto"/>
        <w:bottom w:val="none" w:sz="0" w:space="0" w:color="auto"/>
        <w:right w:val="none" w:sz="0" w:space="0" w:color="auto"/>
      </w:divBdr>
    </w:div>
    <w:div w:id="1235624515">
      <w:bodyDiv w:val="1"/>
      <w:marLeft w:val="0"/>
      <w:marRight w:val="0"/>
      <w:marTop w:val="0"/>
      <w:marBottom w:val="0"/>
      <w:divBdr>
        <w:top w:val="none" w:sz="0" w:space="0" w:color="auto"/>
        <w:left w:val="none" w:sz="0" w:space="0" w:color="auto"/>
        <w:bottom w:val="none" w:sz="0" w:space="0" w:color="auto"/>
        <w:right w:val="none" w:sz="0" w:space="0" w:color="auto"/>
      </w:divBdr>
    </w:div>
    <w:div w:id="1263954117">
      <w:bodyDiv w:val="1"/>
      <w:marLeft w:val="0"/>
      <w:marRight w:val="0"/>
      <w:marTop w:val="0"/>
      <w:marBottom w:val="0"/>
      <w:divBdr>
        <w:top w:val="none" w:sz="0" w:space="0" w:color="auto"/>
        <w:left w:val="none" w:sz="0" w:space="0" w:color="auto"/>
        <w:bottom w:val="none" w:sz="0" w:space="0" w:color="auto"/>
        <w:right w:val="none" w:sz="0" w:space="0" w:color="auto"/>
      </w:divBdr>
    </w:div>
    <w:div w:id="1270696479">
      <w:bodyDiv w:val="1"/>
      <w:marLeft w:val="0"/>
      <w:marRight w:val="0"/>
      <w:marTop w:val="0"/>
      <w:marBottom w:val="0"/>
      <w:divBdr>
        <w:top w:val="none" w:sz="0" w:space="0" w:color="auto"/>
        <w:left w:val="none" w:sz="0" w:space="0" w:color="auto"/>
        <w:bottom w:val="none" w:sz="0" w:space="0" w:color="auto"/>
        <w:right w:val="none" w:sz="0" w:space="0" w:color="auto"/>
      </w:divBdr>
    </w:div>
    <w:div w:id="1310329683">
      <w:bodyDiv w:val="1"/>
      <w:marLeft w:val="0"/>
      <w:marRight w:val="0"/>
      <w:marTop w:val="0"/>
      <w:marBottom w:val="0"/>
      <w:divBdr>
        <w:top w:val="none" w:sz="0" w:space="0" w:color="auto"/>
        <w:left w:val="none" w:sz="0" w:space="0" w:color="auto"/>
        <w:bottom w:val="none" w:sz="0" w:space="0" w:color="auto"/>
        <w:right w:val="none" w:sz="0" w:space="0" w:color="auto"/>
      </w:divBdr>
    </w:div>
    <w:div w:id="1315988929">
      <w:bodyDiv w:val="1"/>
      <w:marLeft w:val="0"/>
      <w:marRight w:val="0"/>
      <w:marTop w:val="0"/>
      <w:marBottom w:val="0"/>
      <w:divBdr>
        <w:top w:val="none" w:sz="0" w:space="0" w:color="auto"/>
        <w:left w:val="none" w:sz="0" w:space="0" w:color="auto"/>
        <w:bottom w:val="none" w:sz="0" w:space="0" w:color="auto"/>
        <w:right w:val="none" w:sz="0" w:space="0" w:color="auto"/>
      </w:divBdr>
    </w:div>
    <w:div w:id="1329626385">
      <w:bodyDiv w:val="1"/>
      <w:marLeft w:val="0"/>
      <w:marRight w:val="0"/>
      <w:marTop w:val="0"/>
      <w:marBottom w:val="0"/>
      <w:divBdr>
        <w:top w:val="none" w:sz="0" w:space="0" w:color="auto"/>
        <w:left w:val="none" w:sz="0" w:space="0" w:color="auto"/>
        <w:bottom w:val="none" w:sz="0" w:space="0" w:color="auto"/>
        <w:right w:val="none" w:sz="0" w:space="0" w:color="auto"/>
      </w:divBdr>
    </w:div>
    <w:div w:id="1333608401">
      <w:bodyDiv w:val="1"/>
      <w:marLeft w:val="0"/>
      <w:marRight w:val="0"/>
      <w:marTop w:val="0"/>
      <w:marBottom w:val="0"/>
      <w:divBdr>
        <w:top w:val="none" w:sz="0" w:space="0" w:color="auto"/>
        <w:left w:val="none" w:sz="0" w:space="0" w:color="auto"/>
        <w:bottom w:val="none" w:sz="0" w:space="0" w:color="auto"/>
        <w:right w:val="none" w:sz="0" w:space="0" w:color="auto"/>
      </w:divBdr>
    </w:div>
    <w:div w:id="1335759718">
      <w:bodyDiv w:val="1"/>
      <w:marLeft w:val="0"/>
      <w:marRight w:val="0"/>
      <w:marTop w:val="0"/>
      <w:marBottom w:val="0"/>
      <w:divBdr>
        <w:top w:val="none" w:sz="0" w:space="0" w:color="auto"/>
        <w:left w:val="none" w:sz="0" w:space="0" w:color="auto"/>
        <w:bottom w:val="none" w:sz="0" w:space="0" w:color="auto"/>
        <w:right w:val="none" w:sz="0" w:space="0" w:color="auto"/>
      </w:divBdr>
    </w:div>
    <w:div w:id="1388339903">
      <w:bodyDiv w:val="1"/>
      <w:marLeft w:val="0"/>
      <w:marRight w:val="0"/>
      <w:marTop w:val="0"/>
      <w:marBottom w:val="0"/>
      <w:divBdr>
        <w:top w:val="none" w:sz="0" w:space="0" w:color="auto"/>
        <w:left w:val="none" w:sz="0" w:space="0" w:color="auto"/>
        <w:bottom w:val="none" w:sz="0" w:space="0" w:color="auto"/>
        <w:right w:val="none" w:sz="0" w:space="0" w:color="auto"/>
      </w:divBdr>
    </w:div>
    <w:div w:id="1397901504">
      <w:bodyDiv w:val="1"/>
      <w:marLeft w:val="0"/>
      <w:marRight w:val="0"/>
      <w:marTop w:val="0"/>
      <w:marBottom w:val="0"/>
      <w:divBdr>
        <w:top w:val="none" w:sz="0" w:space="0" w:color="auto"/>
        <w:left w:val="none" w:sz="0" w:space="0" w:color="auto"/>
        <w:bottom w:val="none" w:sz="0" w:space="0" w:color="auto"/>
        <w:right w:val="none" w:sz="0" w:space="0" w:color="auto"/>
      </w:divBdr>
    </w:div>
    <w:div w:id="1431313163">
      <w:bodyDiv w:val="1"/>
      <w:marLeft w:val="0"/>
      <w:marRight w:val="0"/>
      <w:marTop w:val="0"/>
      <w:marBottom w:val="0"/>
      <w:divBdr>
        <w:top w:val="none" w:sz="0" w:space="0" w:color="auto"/>
        <w:left w:val="none" w:sz="0" w:space="0" w:color="auto"/>
        <w:bottom w:val="none" w:sz="0" w:space="0" w:color="auto"/>
        <w:right w:val="none" w:sz="0" w:space="0" w:color="auto"/>
      </w:divBdr>
    </w:div>
    <w:div w:id="1458377579">
      <w:bodyDiv w:val="1"/>
      <w:marLeft w:val="0"/>
      <w:marRight w:val="0"/>
      <w:marTop w:val="0"/>
      <w:marBottom w:val="0"/>
      <w:divBdr>
        <w:top w:val="none" w:sz="0" w:space="0" w:color="auto"/>
        <w:left w:val="none" w:sz="0" w:space="0" w:color="auto"/>
        <w:bottom w:val="none" w:sz="0" w:space="0" w:color="auto"/>
        <w:right w:val="none" w:sz="0" w:space="0" w:color="auto"/>
      </w:divBdr>
      <w:divsChild>
        <w:div w:id="219293591">
          <w:marLeft w:val="547"/>
          <w:marRight w:val="0"/>
          <w:marTop w:val="115"/>
          <w:marBottom w:val="0"/>
          <w:divBdr>
            <w:top w:val="none" w:sz="0" w:space="0" w:color="auto"/>
            <w:left w:val="none" w:sz="0" w:space="0" w:color="auto"/>
            <w:bottom w:val="none" w:sz="0" w:space="0" w:color="auto"/>
            <w:right w:val="none" w:sz="0" w:space="0" w:color="auto"/>
          </w:divBdr>
        </w:div>
        <w:div w:id="633877873">
          <w:marLeft w:val="547"/>
          <w:marRight w:val="0"/>
          <w:marTop w:val="115"/>
          <w:marBottom w:val="0"/>
          <w:divBdr>
            <w:top w:val="none" w:sz="0" w:space="0" w:color="auto"/>
            <w:left w:val="none" w:sz="0" w:space="0" w:color="auto"/>
            <w:bottom w:val="none" w:sz="0" w:space="0" w:color="auto"/>
            <w:right w:val="none" w:sz="0" w:space="0" w:color="auto"/>
          </w:divBdr>
        </w:div>
        <w:div w:id="1150634511">
          <w:marLeft w:val="547"/>
          <w:marRight w:val="0"/>
          <w:marTop w:val="115"/>
          <w:marBottom w:val="0"/>
          <w:divBdr>
            <w:top w:val="none" w:sz="0" w:space="0" w:color="auto"/>
            <w:left w:val="none" w:sz="0" w:space="0" w:color="auto"/>
            <w:bottom w:val="none" w:sz="0" w:space="0" w:color="auto"/>
            <w:right w:val="none" w:sz="0" w:space="0" w:color="auto"/>
          </w:divBdr>
        </w:div>
        <w:div w:id="1207982992">
          <w:marLeft w:val="547"/>
          <w:marRight w:val="0"/>
          <w:marTop w:val="115"/>
          <w:marBottom w:val="0"/>
          <w:divBdr>
            <w:top w:val="none" w:sz="0" w:space="0" w:color="auto"/>
            <w:left w:val="none" w:sz="0" w:space="0" w:color="auto"/>
            <w:bottom w:val="none" w:sz="0" w:space="0" w:color="auto"/>
            <w:right w:val="none" w:sz="0" w:space="0" w:color="auto"/>
          </w:divBdr>
        </w:div>
        <w:div w:id="1429889008">
          <w:marLeft w:val="547"/>
          <w:marRight w:val="0"/>
          <w:marTop w:val="115"/>
          <w:marBottom w:val="0"/>
          <w:divBdr>
            <w:top w:val="none" w:sz="0" w:space="0" w:color="auto"/>
            <w:left w:val="none" w:sz="0" w:space="0" w:color="auto"/>
            <w:bottom w:val="none" w:sz="0" w:space="0" w:color="auto"/>
            <w:right w:val="none" w:sz="0" w:space="0" w:color="auto"/>
          </w:divBdr>
        </w:div>
        <w:div w:id="1483767796">
          <w:marLeft w:val="547"/>
          <w:marRight w:val="0"/>
          <w:marTop w:val="115"/>
          <w:marBottom w:val="0"/>
          <w:divBdr>
            <w:top w:val="none" w:sz="0" w:space="0" w:color="auto"/>
            <w:left w:val="none" w:sz="0" w:space="0" w:color="auto"/>
            <w:bottom w:val="none" w:sz="0" w:space="0" w:color="auto"/>
            <w:right w:val="none" w:sz="0" w:space="0" w:color="auto"/>
          </w:divBdr>
        </w:div>
        <w:div w:id="1802652110">
          <w:marLeft w:val="547"/>
          <w:marRight w:val="0"/>
          <w:marTop w:val="115"/>
          <w:marBottom w:val="0"/>
          <w:divBdr>
            <w:top w:val="none" w:sz="0" w:space="0" w:color="auto"/>
            <w:left w:val="none" w:sz="0" w:space="0" w:color="auto"/>
            <w:bottom w:val="none" w:sz="0" w:space="0" w:color="auto"/>
            <w:right w:val="none" w:sz="0" w:space="0" w:color="auto"/>
          </w:divBdr>
        </w:div>
        <w:div w:id="2031445569">
          <w:marLeft w:val="547"/>
          <w:marRight w:val="0"/>
          <w:marTop w:val="115"/>
          <w:marBottom w:val="0"/>
          <w:divBdr>
            <w:top w:val="none" w:sz="0" w:space="0" w:color="auto"/>
            <w:left w:val="none" w:sz="0" w:space="0" w:color="auto"/>
            <w:bottom w:val="none" w:sz="0" w:space="0" w:color="auto"/>
            <w:right w:val="none" w:sz="0" w:space="0" w:color="auto"/>
          </w:divBdr>
        </w:div>
      </w:divsChild>
    </w:div>
    <w:div w:id="1513179439">
      <w:bodyDiv w:val="1"/>
      <w:marLeft w:val="0"/>
      <w:marRight w:val="0"/>
      <w:marTop w:val="0"/>
      <w:marBottom w:val="0"/>
      <w:divBdr>
        <w:top w:val="none" w:sz="0" w:space="0" w:color="auto"/>
        <w:left w:val="none" w:sz="0" w:space="0" w:color="auto"/>
        <w:bottom w:val="none" w:sz="0" w:space="0" w:color="auto"/>
        <w:right w:val="none" w:sz="0" w:space="0" w:color="auto"/>
      </w:divBdr>
    </w:div>
    <w:div w:id="1520197243">
      <w:bodyDiv w:val="1"/>
      <w:marLeft w:val="0"/>
      <w:marRight w:val="0"/>
      <w:marTop w:val="0"/>
      <w:marBottom w:val="0"/>
      <w:divBdr>
        <w:top w:val="none" w:sz="0" w:space="0" w:color="auto"/>
        <w:left w:val="none" w:sz="0" w:space="0" w:color="auto"/>
        <w:bottom w:val="none" w:sz="0" w:space="0" w:color="auto"/>
        <w:right w:val="none" w:sz="0" w:space="0" w:color="auto"/>
      </w:divBdr>
    </w:div>
    <w:div w:id="1530921374">
      <w:bodyDiv w:val="1"/>
      <w:marLeft w:val="0"/>
      <w:marRight w:val="0"/>
      <w:marTop w:val="0"/>
      <w:marBottom w:val="0"/>
      <w:divBdr>
        <w:top w:val="none" w:sz="0" w:space="0" w:color="auto"/>
        <w:left w:val="none" w:sz="0" w:space="0" w:color="auto"/>
        <w:bottom w:val="none" w:sz="0" w:space="0" w:color="auto"/>
        <w:right w:val="none" w:sz="0" w:space="0" w:color="auto"/>
      </w:divBdr>
    </w:div>
    <w:div w:id="1539706980">
      <w:bodyDiv w:val="1"/>
      <w:marLeft w:val="0"/>
      <w:marRight w:val="0"/>
      <w:marTop w:val="0"/>
      <w:marBottom w:val="0"/>
      <w:divBdr>
        <w:top w:val="none" w:sz="0" w:space="0" w:color="auto"/>
        <w:left w:val="none" w:sz="0" w:space="0" w:color="auto"/>
        <w:bottom w:val="none" w:sz="0" w:space="0" w:color="auto"/>
        <w:right w:val="none" w:sz="0" w:space="0" w:color="auto"/>
      </w:divBdr>
    </w:div>
    <w:div w:id="1544560742">
      <w:bodyDiv w:val="1"/>
      <w:marLeft w:val="0"/>
      <w:marRight w:val="0"/>
      <w:marTop w:val="0"/>
      <w:marBottom w:val="0"/>
      <w:divBdr>
        <w:top w:val="none" w:sz="0" w:space="0" w:color="auto"/>
        <w:left w:val="none" w:sz="0" w:space="0" w:color="auto"/>
        <w:bottom w:val="none" w:sz="0" w:space="0" w:color="auto"/>
        <w:right w:val="none" w:sz="0" w:space="0" w:color="auto"/>
      </w:divBdr>
    </w:div>
    <w:div w:id="1547332556">
      <w:bodyDiv w:val="1"/>
      <w:marLeft w:val="0"/>
      <w:marRight w:val="0"/>
      <w:marTop w:val="0"/>
      <w:marBottom w:val="0"/>
      <w:divBdr>
        <w:top w:val="none" w:sz="0" w:space="0" w:color="auto"/>
        <w:left w:val="none" w:sz="0" w:space="0" w:color="auto"/>
        <w:bottom w:val="none" w:sz="0" w:space="0" w:color="auto"/>
        <w:right w:val="none" w:sz="0" w:space="0" w:color="auto"/>
      </w:divBdr>
    </w:div>
    <w:div w:id="1551922886">
      <w:bodyDiv w:val="1"/>
      <w:marLeft w:val="0"/>
      <w:marRight w:val="0"/>
      <w:marTop w:val="0"/>
      <w:marBottom w:val="0"/>
      <w:divBdr>
        <w:top w:val="none" w:sz="0" w:space="0" w:color="auto"/>
        <w:left w:val="none" w:sz="0" w:space="0" w:color="auto"/>
        <w:bottom w:val="none" w:sz="0" w:space="0" w:color="auto"/>
        <w:right w:val="none" w:sz="0" w:space="0" w:color="auto"/>
      </w:divBdr>
    </w:div>
    <w:div w:id="1554925319">
      <w:bodyDiv w:val="1"/>
      <w:marLeft w:val="0"/>
      <w:marRight w:val="0"/>
      <w:marTop w:val="0"/>
      <w:marBottom w:val="0"/>
      <w:divBdr>
        <w:top w:val="none" w:sz="0" w:space="0" w:color="auto"/>
        <w:left w:val="none" w:sz="0" w:space="0" w:color="auto"/>
        <w:bottom w:val="none" w:sz="0" w:space="0" w:color="auto"/>
        <w:right w:val="none" w:sz="0" w:space="0" w:color="auto"/>
      </w:divBdr>
    </w:div>
    <w:div w:id="1556235240">
      <w:bodyDiv w:val="1"/>
      <w:marLeft w:val="0"/>
      <w:marRight w:val="0"/>
      <w:marTop w:val="0"/>
      <w:marBottom w:val="0"/>
      <w:divBdr>
        <w:top w:val="none" w:sz="0" w:space="0" w:color="auto"/>
        <w:left w:val="none" w:sz="0" w:space="0" w:color="auto"/>
        <w:bottom w:val="none" w:sz="0" w:space="0" w:color="auto"/>
        <w:right w:val="none" w:sz="0" w:space="0" w:color="auto"/>
      </w:divBdr>
    </w:div>
    <w:div w:id="1567182960">
      <w:bodyDiv w:val="1"/>
      <w:marLeft w:val="0"/>
      <w:marRight w:val="0"/>
      <w:marTop w:val="0"/>
      <w:marBottom w:val="0"/>
      <w:divBdr>
        <w:top w:val="none" w:sz="0" w:space="0" w:color="auto"/>
        <w:left w:val="none" w:sz="0" w:space="0" w:color="auto"/>
        <w:bottom w:val="none" w:sz="0" w:space="0" w:color="auto"/>
        <w:right w:val="none" w:sz="0" w:space="0" w:color="auto"/>
      </w:divBdr>
      <w:divsChild>
        <w:div w:id="775250977">
          <w:marLeft w:val="0"/>
          <w:marRight w:val="0"/>
          <w:marTop w:val="0"/>
          <w:marBottom w:val="0"/>
          <w:divBdr>
            <w:top w:val="none" w:sz="0" w:space="0" w:color="auto"/>
            <w:left w:val="none" w:sz="0" w:space="0" w:color="auto"/>
            <w:bottom w:val="none" w:sz="0" w:space="0" w:color="auto"/>
            <w:right w:val="none" w:sz="0" w:space="0" w:color="auto"/>
          </w:divBdr>
          <w:divsChild>
            <w:div w:id="211574188">
              <w:marLeft w:val="0"/>
              <w:marRight w:val="0"/>
              <w:marTop w:val="0"/>
              <w:marBottom w:val="0"/>
              <w:divBdr>
                <w:top w:val="none" w:sz="0" w:space="0" w:color="auto"/>
                <w:left w:val="none" w:sz="0" w:space="0" w:color="auto"/>
                <w:bottom w:val="none" w:sz="0" w:space="0" w:color="auto"/>
                <w:right w:val="none" w:sz="0" w:space="0" w:color="auto"/>
              </w:divBdr>
              <w:divsChild>
                <w:div w:id="2117478903">
                  <w:marLeft w:val="0"/>
                  <w:marRight w:val="0"/>
                  <w:marTop w:val="0"/>
                  <w:marBottom w:val="0"/>
                  <w:divBdr>
                    <w:top w:val="none" w:sz="0" w:space="0" w:color="auto"/>
                    <w:left w:val="none" w:sz="0" w:space="0" w:color="auto"/>
                    <w:bottom w:val="none" w:sz="0" w:space="0" w:color="auto"/>
                    <w:right w:val="none" w:sz="0" w:space="0" w:color="auto"/>
                  </w:divBdr>
                  <w:divsChild>
                    <w:div w:id="814570028">
                      <w:marLeft w:val="0"/>
                      <w:marRight w:val="0"/>
                      <w:marTop w:val="0"/>
                      <w:marBottom w:val="0"/>
                      <w:divBdr>
                        <w:top w:val="none" w:sz="0" w:space="0" w:color="auto"/>
                        <w:left w:val="none" w:sz="0" w:space="0" w:color="auto"/>
                        <w:bottom w:val="none" w:sz="0" w:space="0" w:color="auto"/>
                        <w:right w:val="none" w:sz="0" w:space="0" w:color="auto"/>
                      </w:divBdr>
                      <w:divsChild>
                        <w:div w:id="716393488">
                          <w:marLeft w:val="0"/>
                          <w:marRight w:val="0"/>
                          <w:marTop w:val="0"/>
                          <w:marBottom w:val="0"/>
                          <w:divBdr>
                            <w:top w:val="none" w:sz="0" w:space="0" w:color="auto"/>
                            <w:left w:val="none" w:sz="0" w:space="0" w:color="auto"/>
                            <w:bottom w:val="none" w:sz="0" w:space="0" w:color="auto"/>
                            <w:right w:val="none" w:sz="0" w:space="0" w:color="auto"/>
                          </w:divBdr>
                          <w:divsChild>
                            <w:div w:id="108510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5236156">
      <w:bodyDiv w:val="1"/>
      <w:marLeft w:val="0"/>
      <w:marRight w:val="0"/>
      <w:marTop w:val="0"/>
      <w:marBottom w:val="0"/>
      <w:divBdr>
        <w:top w:val="none" w:sz="0" w:space="0" w:color="auto"/>
        <w:left w:val="none" w:sz="0" w:space="0" w:color="auto"/>
        <w:bottom w:val="none" w:sz="0" w:space="0" w:color="auto"/>
        <w:right w:val="none" w:sz="0" w:space="0" w:color="auto"/>
      </w:divBdr>
    </w:div>
    <w:div w:id="1629701239">
      <w:bodyDiv w:val="1"/>
      <w:marLeft w:val="0"/>
      <w:marRight w:val="0"/>
      <w:marTop w:val="0"/>
      <w:marBottom w:val="0"/>
      <w:divBdr>
        <w:top w:val="none" w:sz="0" w:space="0" w:color="auto"/>
        <w:left w:val="none" w:sz="0" w:space="0" w:color="auto"/>
        <w:bottom w:val="none" w:sz="0" w:space="0" w:color="auto"/>
        <w:right w:val="none" w:sz="0" w:space="0" w:color="auto"/>
      </w:divBdr>
    </w:div>
    <w:div w:id="1688560657">
      <w:bodyDiv w:val="1"/>
      <w:marLeft w:val="0"/>
      <w:marRight w:val="0"/>
      <w:marTop w:val="0"/>
      <w:marBottom w:val="0"/>
      <w:divBdr>
        <w:top w:val="none" w:sz="0" w:space="0" w:color="auto"/>
        <w:left w:val="none" w:sz="0" w:space="0" w:color="auto"/>
        <w:bottom w:val="none" w:sz="0" w:space="0" w:color="auto"/>
        <w:right w:val="none" w:sz="0" w:space="0" w:color="auto"/>
      </w:divBdr>
    </w:div>
    <w:div w:id="1697266069">
      <w:bodyDiv w:val="1"/>
      <w:marLeft w:val="0"/>
      <w:marRight w:val="0"/>
      <w:marTop w:val="0"/>
      <w:marBottom w:val="0"/>
      <w:divBdr>
        <w:top w:val="none" w:sz="0" w:space="0" w:color="auto"/>
        <w:left w:val="none" w:sz="0" w:space="0" w:color="auto"/>
        <w:bottom w:val="none" w:sz="0" w:space="0" w:color="auto"/>
        <w:right w:val="none" w:sz="0" w:space="0" w:color="auto"/>
      </w:divBdr>
    </w:div>
    <w:div w:id="1728841579">
      <w:bodyDiv w:val="1"/>
      <w:marLeft w:val="0"/>
      <w:marRight w:val="0"/>
      <w:marTop w:val="0"/>
      <w:marBottom w:val="0"/>
      <w:divBdr>
        <w:top w:val="none" w:sz="0" w:space="0" w:color="auto"/>
        <w:left w:val="none" w:sz="0" w:space="0" w:color="auto"/>
        <w:bottom w:val="none" w:sz="0" w:space="0" w:color="auto"/>
        <w:right w:val="none" w:sz="0" w:space="0" w:color="auto"/>
      </w:divBdr>
    </w:div>
    <w:div w:id="1748654184">
      <w:bodyDiv w:val="1"/>
      <w:marLeft w:val="0"/>
      <w:marRight w:val="0"/>
      <w:marTop w:val="0"/>
      <w:marBottom w:val="0"/>
      <w:divBdr>
        <w:top w:val="none" w:sz="0" w:space="0" w:color="auto"/>
        <w:left w:val="none" w:sz="0" w:space="0" w:color="auto"/>
        <w:bottom w:val="none" w:sz="0" w:space="0" w:color="auto"/>
        <w:right w:val="none" w:sz="0" w:space="0" w:color="auto"/>
      </w:divBdr>
    </w:div>
    <w:div w:id="1749378683">
      <w:bodyDiv w:val="1"/>
      <w:marLeft w:val="0"/>
      <w:marRight w:val="0"/>
      <w:marTop w:val="0"/>
      <w:marBottom w:val="0"/>
      <w:divBdr>
        <w:top w:val="none" w:sz="0" w:space="0" w:color="auto"/>
        <w:left w:val="none" w:sz="0" w:space="0" w:color="auto"/>
        <w:bottom w:val="none" w:sz="0" w:space="0" w:color="auto"/>
        <w:right w:val="none" w:sz="0" w:space="0" w:color="auto"/>
      </w:divBdr>
      <w:divsChild>
        <w:div w:id="1656909060">
          <w:marLeft w:val="0"/>
          <w:marRight w:val="0"/>
          <w:marTop w:val="0"/>
          <w:marBottom w:val="0"/>
          <w:divBdr>
            <w:top w:val="none" w:sz="0" w:space="0" w:color="auto"/>
            <w:left w:val="none" w:sz="0" w:space="0" w:color="auto"/>
            <w:bottom w:val="none" w:sz="0" w:space="0" w:color="auto"/>
            <w:right w:val="none" w:sz="0" w:space="0" w:color="auto"/>
          </w:divBdr>
          <w:divsChild>
            <w:div w:id="53823946">
              <w:marLeft w:val="0"/>
              <w:marRight w:val="0"/>
              <w:marTop w:val="0"/>
              <w:marBottom w:val="0"/>
              <w:divBdr>
                <w:top w:val="none" w:sz="0" w:space="0" w:color="auto"/>
                <w:left w:val="none" w:sz="0" w:space="0" w:color="auto"/>
                <w:bottom w:val="none" w:sz="0" w:space="0" w:color="auto"/>
                <w:right w:val="none" w:sz="0" w:space="0" w:color="auto"/>
              </w:divBdr>
              <w:divsChild>
                <w:div w:id="1544099314">
                  <w:marLeft w:val="0"/>
                  <w:marRight w:val="0"/>
                  <w:marTop w:val="0"/>
                  <w:marBottom w:val="0"/>
                  <w:divBdr>
                    <w:top w:val="none" w:sz="0" w:space="0" w:color="auto"/>
                    <w:left w:val="none" w:sz="0" w:space="0" w:color="auto"/>
                    <w:bottom w:val="none" w:sz="0" w:space="0" w:color="auto"/>
                    <w:right w:val="none" w:sz="0" w:space="0" w:color="auto"/>
                  </w:divBdr>
                  <w:divsChild>
                    <w:div w:id="1583249385">
                      <w:marLeft w:val="0"/>
                      <w:marRight w:val="0"/>
                      <w:marTop w:val="0"/>
                      <w:marBottom w:val="0"/>
                      <w:divBdr>
                        <w:top w:val="none" w:sz="0" w:space="0" w:color="auto"/>
                        <w:left w:val="none" w:sz="0" w:space="0" w:color="auto"/>
                        <w:bottom w:val="none" w:sz="0" w:space="0" w:color="auto"/>
                        <w:right w:val="none" w:sz="0" w:space="0" w:color="auto"/>
                      </w:divBdr>
                      <w:divsChild>
                        <w:div w:id="1037924236">
                          <w:marLeft w:val="0"/>
                          <w:marRight w:val="0"/>
                          <w:marTop w:val="0"/>
                          <w:marBottom w:val="0"/>
                          <w:divBdr>
                            <w:top w:val="none" w:sz="0" w:space="0" w:color="auto"/>
                            <w:left w:val="none" w:sz="0" w:space="0" w:color="auto"/>
                            <w:bottom w:val="none" w:sz="0" w:space="0" w:color="auto"/>
                            <w:right w:val="none" w:sz="0" w:space="0" w:color="auto"/>
                          </w:divBdr>
                          <w:divsChild>
                            <w:div w:id="130384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0056112">
      <w:bodyDiv w:val="1"/>
      <w:marLeft w:val="0"/>
      <w:marRight w:val="0"/>
      <w:marTop w:val="0"/>
      <w:marBottom w:val="0"/>
      <w:divBdr>
        <w:top w:val="none" w:sz="0" w:space="0" w:color="auto"/>
        <w:left w:val="none" w:sz="0" w:space="0" w:color="auto"/>
        <w:bottom w:val="none" w:sz="0" w:space="0" w:color="auto"/>
        <w:right w:val="none" w:sz="0" w:space="0" w:color="auto"/>
      </w:divBdr>
    </w:div>
    <w:div w:id="1812289388">
      <w:bodyDiv w:val="1"/>
      <w:marLeft w:val="0"/>
      <w:marRight w:val="0"/>
      <w:marTop w:val="0"/>
      <w:marBottom w:val="0"/>
      <w:divBdr>
        <w:top w:val="none" w:sz="0" w:space="0" w:color="auto"/>
        <w:left w:val="none" w:sz="0" w:space="0" w:color="auto"/>
        <w:bottom w:val="none" w:sz="0" w:space="0" w:color="auto"/>
        <w:right w:val="none" w:sz="0" w:space="0" w:color="auto"/>
      </w:divBdr>
    </w:div>
    <w:div w:id="1816724055">
      <w:bodyDiv w:val="1"/>
      <w:marLeft w:val="0"/>
      <w:marRight w:val="0"/>
      <w:marTop w:val="0"/>
      <w:marBottom w:val="0"/>
      <w:divBdr>
        <w:top w:val="none" w:sz="0" w:space="0" w:color="auto"/>
        <w:left w:val="none" w:sz="0" w:space="0" w:color="auto"/>
        <w:bottom w:val="none" w:sz="0" w:space="0" w:color="auto"/>
        <w:right w:val="none" w:sz="0" w:space="0" w:color="auto"/>
      </w:divBdr>
    </w:div>
    <w:div w:id="1820464162">
      <w:bodyDiv w:val="1"/>
      <w:marLeft w:val="0"/>
      <w:marRight w:val="0"/>
      <w:marTop w:val="0"/>
      <w:marBottom w:val="0"/>
      <w:divBdr>
        <w:top w:val="none" w:sz="0" w:space="0" w:color="auto"/>
        <w:left w:val="none" w:sz="0" w:space="0" w:color="auto"/>
        <w:bottom w:val="none" w:sz="0" w:space="0" w:color="auto"/>
        <w:right w:val="none" w:sz="0" w:space="0" w:color="auto"/>
      </w:divBdr>
    </w:div>
    <w:div w:id="1876843405">
      <w:bodyDiv w:val="1"/>
      <w:marLeft w:val="0"/>
      <w:marRight w:val="0"/>
      <w:marTop w:val="0"/>
      <w:marBottom w:val="0"/>
      <w:divBdr>
        <w:top w:val="none" w:sz="0" w:space="0" w:color="auto"/>
        <w:left w:val="none" w:sz="0" w:space="0" w:color="auto"/>
        <w:bottom w:val="none" w:sz="0" w:space="0" w:color="auto"/>
        <w:right w:val="none" w:sz="0" w:space="0" w:color="auto"/>
      </w:divBdr>
    </w:div>
    <w:div w:id="1905721401">
      <w:bodyDiv w:val="1"/>
      <w:marLeft w:val="0"/>
      <w:marRight w:val="0"/>
      <w:marTop w:val="0"/>
      <w:marBottom w:val="0"/>
      <w:divBdr>
        <w:top w:val="none" w:sz="0" w:space="0" w:color="auto"/>
        <w:left w:val="none" w:sz="0" w:space="0" w:color="auto"/>
        <w:bottom w:val="none" w:sz="0" w:space="0" w:color="auto"/>
        <w:right w:val="none" w:sz="0" w:space="0" w:color="auto"/>
      </w:divBdr>
    </w:div>
    <w:div w:id="1918711856">
      <w:bodyDiv w:val="1"/>
      <w:marLeft w:val="0"/>
      <w:marRight w:val="0"/>
      <w:marTop w:val="0"/>
      <w:marBottom w:val="0"/>
      <w:divBdr>
        <w:top w:val="none" w:sz="0" w:space="0" w:color="auto"/>
        <w:left w:val="none" w:sz="0" w:space="0" w:color="auto"/>
        <w:bottom w:val="none" w:sz="0" w:space="0" w:color="auto"/>
        <w:right w:val="none" w:sz="0" w:space="0" w:color="auto"/>
      </w:divBdr>
    </w:div>
    <w:div w:id="1919050072">
      <w:bodyDiv w:val="1"/>
      <w:marLeft w:val="0"/>
      <w:marRight w:val="0"/>
      <w:marTop w:val="0"/>
      <w:marBottom w:val="0"/>
      <w:divBdr>
        <w:top w:val="none" w:sz="0" w:space="0" w:color="auto"/>
        <w:left w:val="none" w:sz="0" w:space="0" w:color="auto"/>
        <w:bottom w:val="none" w:sz="0" w:space="0" w:color="auto"/>
        <w:right w:val="none" w:sz="0" w:space="0" w:color="auto"/>
      </w:divBdr>
    </w:div>
    <w:div w:id="1923945888">
      <w:bodyDiv w:val="1"/>
      <w:marLeft w:val="0"/>
      <w:marRight w:val="0"/>
      <w:marTop w:val="0"/>
      <w:marBottom w:val="0"/>
      <w:divBdr>
        <w:top w:val="none" w:sz="0" w:space="0" w:color="auto"/>
        <w:left w:val="none" w:sz="0" w:space="0" w:color="auto"/>
        <w:bottom w:val="none" w:sz="0" w:space="0" w:color="auto"/>
        <w:right w:val="none" w:sz="0" w:space="0" w:color="auto"/>
      </w:divBdr>
    </w:div>
    <w:div w:id="1930116925">
      <w:bodyDiv w:val="1"/>
      <w:marLeft w:val="0"/>
      <w:marRight w:val="0"/>
      <w:marTop w:val="0"/>
      <w:marBottom w:val="0"/>
      <w:divBdr>
        <w:top w:val="none" w:sz="0" w:space="0" w:color="auto"/>
        <w:left w:val="none" w:sz="0" w:space="0" w:color="auto"/>
        <w:bottom w:val="none" w:sz="0" w:space="0" w:color="auto"/>
        <w:right w:val="none" w:sz="0" w:space="0" w:color="auto"/>
      </w:divBdr>
    </w:div>
    <w:div w:id="1941208952">
      <w:bodyDiv w:val="1"/>
      <w:marLeft w:val="0"/>
      <w:marRight w:val="0"/>
      <w:marTop w:val="0"/>
      <w:marBottom w:val="0"/>
      <w:divBdr>
        <w:top w:val="none" w:sz="0" w:space="0" w:color="auto"/>
        <w:left w:val="none" w:sz="0" w:space="0" w:color="auto"/>
        <w:bottom w:val="none" w:sz="0" w:space="0" w:color="auto"/>
        <w:right w:val="none" w:sz="0" w:space="0" w:color="auto"/>
      </w:divBdr>
    </w:div>
    <w:div w:id="1981304109">
      <w:bodyDiv w:val="1"/>
      <w:marLeft w:val="0"/>
      <w:marRight w:val="0"/>
      <w:marTop w:val="0"/>
      <w:marBottom w:val="0"/>
      <w:divBdr>
        <w:top w:val="none" w:sz="0" w:space="0" w:color="auto"/>
        <w:left w:val="none" w:sz="0" w:space="0" w:color="auto"/>
        <w:bottom w:val="none" w:sz="0" w:space="0" w:color="auto"/>
        <w:right w:val="none" w:sz="0" w:space="0" w:color="auto"/>
      </w:divBdr>
    </w:div>
    <w:div w:id="2007974947">
      <w:bodyDiv w:val="1"/>
      <w:marLeft w:val="0"/>
      <w:marRight w:val="0"/>
      <w:marTop w:val="0"/>
      <w:marBottom w:val="0"/>
      <w:divBdr>
        <w:top w:val="none" w:sz="0" w:space="0" w:color="auto"/>
        <w:left w:val="none" w:sz="0" w:space="0" w:color="auto"/>
        <w:bottom w:val="none" w:sz="0" w:space="0" w:color="auto"/>
        <w:right w:val="none" w:sz="0" w:space="0" w:color="auto"/>
      </w:divBdr>
    </w:div>
    <w:div w:id="2074699740">
      <w:bodyDiv w:val="1"/>
      <w:marLeft w:val="0"/>
      <w:marRight w:val="0"/>
      <w:marTop w:val="0"/>
      <w:marBottom w:val="0"/>
      <w:divBdr>
        <w:top w:val="none" w:sz="0" w:space="0" w:color="auto"/>
        <w:left w:val="none" w:sz="0" w:space="0" w:color="auto"/>
        <w:bottom w:val="none" w:sz="0" w:space="0" w:color="auto"/>
        <w:right w:val="none" w:sz="0" w:space="0" w:color="auto"/>
      </w:divBdr>
    </w:div>
    <w:div w:id="2076273075">
      <w:bodyDiv w:val="1"/>
      <w:marLeft w:val="0"/>
      <w:marRight w:val="0"/>
      <w:marTop w:val="0"/>
      <w:marBottom w:val="0"/>
      <w:divBdr>
        <w:top w:val="none" w:sz="0" w:space="0" w:color="auto"/>
        <w:left w:val="none" w:sz="0" w:space="0" w:color="auto"/>
        <w:bottom w:val="none" w:sz="0" w:space="0" w:color="auto"/>
        <w:right w:val="none" w:sz="0" w:space="0" w:color="auto"/>
      </w:divBdr>
    </w:div>
    <w:div w:id="2099404515">
      <w:bodyDiv w:val="1"/>
      <w:marLeft w:val="0"/>
      <w:marRight w:val="0"/>
      <w:marTop w:val="0"/>
      <w:marBottom w:val="0"/>
      <w:divBdr>
        <w:top w:val="none" w:sz="0" w:space="0" w:color="auto"/>
        <w:left w:val="none" w:sz="0" w:space="0" w:color="auto"/>
        <w:bottom w:val="none" w:sz="0" w:space="0" w:color="auto"/>
        <w:right w:val="none" w:sz="0" w:space="0" w:color="auto"/>
      </w:divBdr>
    </w:div>
    <w:div w:id="2104106422">
      <w:bodyDiv w:val="1"/>
      <w:marLeft w:val="0"/>
      <w:marRight w:val="0"/>
      <w:marTop w:val="0"/>
      <w:marBottom w:val="0"/>
      <w:divBdr>
        <w:top w:val="none" w:sz="0" w:space="0" w:color="auto"/>
        <w:left w:val="none" w:sz="0" w:space="0" w:color="auto"/>
        <w:bottom w:val="none" w:sz="0" w:space="0" w:color="auto"/>
        <w:right w:val="none" w:sz="0" w:space="0" w:color="auto"/>
      </w:divBdr>
    </w:div>
    <w:div w:id="2111510405">
      <w:bodyDiv w:val="1"/>
      <w:marLeft w:val="0"/>
      <w:marRight w:val="0"/>
      <w:marTop w:val="0"/>
      <w:marBottom w:val="0"/>
      <w:divBdr>
        <w:top w:val="none" w:sz="0" w:space="0" w:color="auto"/>
        <w:left w:val="none" w:sz="0" w:space="0" w:color="auto"/>
        <w:bottom w:val="none" w:sz="0" w:space="0" w:color="auto"/>
        <w:right w:val="none" w:sz="0" w:space="0" w:color="auto"/>
      </w:divBdr>
    </w:div>
    <w:div w:id="2111970754">
      <w:bodyDiv w:val="1"/>
      <w:marLeft w:val="0"/>
      <w:marRight w:val="0"/>
      <w:marTop w:val="0"/>
      <w:marBottom w:val="0"/>
      <w:divBdr>
        <w:top w:val="none" w:sz="0" w:space="0" w:color="auto"/>
        <w:left w:val="none" w:sz="0" w:space="0" w:color="auto"/>
        <w:bottom w:val="none" w:sz="0" w:space="0" w:color="auto"/>
        <w:right w:val="none" w:sz="0" w:space="0" w:color="auto"/>
      </w:divBdr>
    </w:div>
    <w:div w:id="2119911874">
      <w:bodyDiv w:val="1"/>
      <w:marLeft w:val="0"/>
      <w:marRight w:val="0"/>
      <w:marTop w:val="0"/>
      <w:marBottom w:val="0"/>
      <w:divBdr>
        <w:top w:val="none" w:sz="0" w:space="0" w:color="auto"/>
        <w:left w:val="none" w:sz="0" w:space="0" w:color="auto"/>
        <w:bottom w:val="none" w:sz="0" w:space="0" w:color="auto"/>
        <w:right w:val="none" w:sz="0" w:space="0" w:color="auto"/>
      </w:divBdr>
    </w:div>
    <w:div w:id="2133746925">
      <w:bodyDiv w:val="1"/>
      <w:marLeft w:val="0"/>
      <w:marRight w:val="0"/>
      <w:marTop w:val="0"/>
      <w:marBottom w:val="0"/>
      <w:divBdr>
        <w:top w:val="none" w:sz="0" w:space="0" w:color="auto"/>
        <w:left w:val="none" w:sz="0" w:space="0" w:color="auto"/>
        <w:bottom w:val="none" w:sz="0" w:space="0" w:color="auto"/>
        <w:right w:val="none" w:sz="0" w:space="0" w:color="auto"/>
      </w:divBdr>
    </w:div>
    <w:div w:id="2146390640">
      <w:bodyDiv w:val="1"/>
      <w:marLeft w:val="0"/>
      <w:marRight w:val="0"/>
      <w:marTop w:val="0"/>
      <w:marBottom w:val="0"/>
      <w:divBdr>
        <w:top w:val="none" w:sz="0" w:space="0" w:color="auto"/>
        <w:left w:val="none" w:sz="0" w:space="0" w:color="auto"/>
        <w:bottom w:val="none" w:sz="0" w:space="0" w:color="auto"/>
        <w:right w:val="none" w:sz="0" w:space="0" w:color="auto"/>
      </w:divBdr>
    </w:div>
    <w:div w:id="21467014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7.emf"/><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4.png"/><Relationship Id="rId63" Type="http://schemas.openxmlformats.org/officeDocument/2006/relationships/image" Target="media/image51.jpeg"/><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vdb.czso.cz/vdbvo/mi/mi_ukazatel.jsp?kodukaz=1658&amp;kodjaz=203&amp;app=vdb" TargetMode="External"/><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hyperlink" Target="http://mapy.vumop.cz/" TargetMode="External"/><Relationship Id="rId58" Type="http://schemas.openxmlformats.org/officeDocument/2006/relationships/image" Target="media/image47.jpe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www.czso.cz/csu/xk/mapy_a_kartogramy" TargetMode="External"/><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6.jpeg"/><Relationship Id="rId61" Type="http://schemas.openxmlformats.org/officeDocument/2006/relationships/image" Target="media/image49.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8.emf"/><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jpeg"/><Relationship Id="rId30" Type="http://schemas.openxmlformats.org/officeDocument/2006/relationships/image" Target="media/image21.emf"/><Relationship Id="rId35" Type="http://schemas.openxmlformats.org/officeDocument/2006/relationships/hyperlink" Target="http://www.mapy.cz" TargetMode="External"/><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image" Target="media/image45.png"/><Relationship Id="rId64" Type="http://schemas.openxmlformats.org/officeDocument/2006/relationships/hyperlink" Target="http://www.mas-krusnehory.cz/"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heis.vuv.cz" TargetMode="External"/><Relationship Id="rId67"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50.emf"/><Relationship Id="rId7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57.jpeg"/></Relationships>
</file>

<file path=word/_rels/footnotes.xml.rels><?xml version="1.0" encoding="UTF-8" standalone="yes"?>
<Relationships xmlns="http://schemas.openxmlformats.org/package/2006/relationships"><Relationship Id="rId8" Type="http://schemas.openxmlformats.org/officeDocument/2006/relationships/hyperlink" Target="http://www.ceskemo106.cz/" TargetMode="External"/><Relationship Id="rId3" Type="http://schemas.openxmlformats.org/officeDocument/2006/relationships/hyperlink" Target="http://vdb.czso.cz/vdbvo2" TargetMode="External"/><Relationship Id="rId7" Type="http://schemas.openxmlformats.org/officeDocument/2006/relationships/hyperlink" Target="http://www.dk-ostrov.cz/infocentrum/vylety-do-ostrova" TargetMode="External"/><Relationship Id="rId2" Type="http://schemas.openxmlformats.org/officeDocument/2006/relationships/hyperlink" Target="http://www.geology.cz/app/ciselniky/lokalizace/show_map.php?mapa=g50&amp;y=843340&amp;x=1003450&amp;s=1" TargetMode="External"/><Relationship Id="rId1" Type="http://schemas.openxmlformats.org/officeDocument/2006/relationships/hyperlink" Target="https://vdb.czso.cz/vdbvo2/faces/cs/index.jsf?page=profil-uzemi&amp;uzemiprofil=31548&amp;u=__VUZEMI__43__555428" TargetMode="External"/><Relationship Id="rId6" Type="http://schemas.openxmlformats.org/officeDocument/2006/relationships/hyperlink" Target="http://vdb.czso.cz/vdbvo2" TargetMode="External"/><Relationship Id="rId5" Type="http://schemas.openxmlformats.org/officeDocument/2006/relationships/hyperlink" Target="https://vdb.czso.cz/vdbvo2/faces/cs/index.jsf?page=vystup-%20objekt&amp;pvo=DEM05&amp;f=TABULKA&amp;z=T&amp;skupId=546&amp;katalog=30845&amp;pvo=DEM05&amp;str=v109&amp;c=v3~3__RP2016&amp;u=v109__VUZEMI__43__555428" TargetMode="External"/><Relationship Id="rId4" Type="http://schemas.openxmlformats.org/officeDocument/2006/relationships/hyperlink" Target="http://vdb.czso.cz/vdbvo2" TargetMode="External"/><Relationship Id="rId9" Type="http://schemas.openxmlformats.org/officeDocument/2006/relationships/hyperlink" Target="http://cykloportal.ostrov.cz/c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2.png"/></Relationships>
</file>

<file path=word/_rels/header2.xml.rels><?xml version="1.0" encoding="UTF-8" standalone="yes"?>
<Relationships xmlns="http://schemas.openxmlformats.org/package/2006/relationships"><Relationship Id="rId3" Type="http://schemas.openxmlformats.org/officeDocument/2006/relationships/image" Target="media/image55.jpeg"/><Relationship Id="rId2" Type="http://schemas.openxmlformats.org/officeDocument/2006/relationships/image" Target="media/image54.jpeg"/><Relationship Id="rId1" Type="http://schemas.openxmlformats.org/officeDocument/2006/relationships/image" Target="media/image53.jpeg"/><Relationship Id="rId4" Type="http://schemas.openxmlformats.org/officeDocument/2006/relationships/image" Target="media/image56.jpeg"/></Relationships>
</file>

<file path=word/theme/theme1.xml><?xml version="1.0" encoding="utf-8"?>
<a:theme xmlns:a="http://schemas.openxmlformats.org/drawingml/2006/main" name="Office Theme">
  <a:themeElements>
    <a:clrScheme name="RegioPartner">
      <a:dk1>
        <a:sysClr val="windowText" lastClr="000000"/>
      </a:dk1>
      <a:lt1>
        <a:sysClr val="window" lastClr="FFFFFF"/>
      </a:lt1>
      <a:dk2>
        <a:srgbClr val="464653"/>
      </a:dk2>
      <a:lt2>
        <a:srgbClr val="DDE9EC"/>
      </a:lt2>
      <a:accent1>
        <a:srgbClr val="372C74"/>
      </a:accent1>
      <a:accent2>
        <a:srgbClr val="7566C5"/>
      </a:accent2>
      <a:accent3>
        <a:srgbClr val="D89228"/>
      </a:accent3>
      <a:accent4>
        <a:srgbClr val="F6C120"/>
      </a:accent4>
      <a:accent5>
        <a:srgbClr val="2A862C"/>
      </a:accent5>
      <a:accent6>
        <a:srgbClr val="BBC737"/>
      </a:accent6>
      <a:hlink>
        <a:srgbClr val="0070C0"/>
      </a:hlink>
      <a:folHlink>
        <a:srgbClr val="0070C0"/>
      </a:folHlink>
    </a:clrScheme>
    <a:fontScheme name="RegioPartner">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4079E9-A8E5-442E-AABE-21517E0DF3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89</Pages>
  <Words>21095</Words>
  <Characters>124462</Characters>
  <Application>Microsoft Office Word</Application>
  <DocSecurity>0</DocSecurity>
  <Lines>1037</Lines>
  <Paragraphs>290</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RP</Company>
  <LinksUpToDate>false</LinksUpToDate>
  <CharactersWithSpaces>145267</CharactersWithSpaces>
  <SharedDoc>false</SharedDoc>
  <HyperlinkBase/>
  <HLinks>
    <vt:vector size="78" baseType="variant">
      <vt:variant>
        <vt:i4>720990</vt:i4>
      </vt:variant>
      <vt:variant>
        <vt:i4>126</vt:i4>
      </vt:variant>
      <vt:variant>
        <vt:i4>0</vt:i4>
      </vt:variant>
      <vt:variant>
        <vt:i4>5</vt:i4>
      </vt:variant>
      <vt:variant>
        <vt:lpwstr>http://www.prahafondy.eu/</vt:lpwstr>
      </vt:variant>
      <vt:variant>
        <vt:lpwstr/>
      </vt:variant>
      <vt:variant>
        <vt:i4>2490459</vt:i4>
      </vt:variant>
      <vt:variant>
        <vt:i4>114</vt:i4>
      </vt:variant>
      <vt:variant>
        <vt:i4>0</vt:i4>
      </vt:variant>
      <vt:variant>
        <vt:i4>5</vt:i4>
      </vt:variant>
      <vt:variant>
        <vt:lpwstr>mailto:renata.vaclavkova@vsb.cz</vt:lpwstr>
      </vt:variant>
      <vt:variant>
        <vt:lpwstr/>
      </vt:variant>
      <vt:variant>
        <vt:i4>655381</vt:i4>
      </vt:variant>
      <vt:variant>
        <vt:i4>111</vt:i4>
      </vt:variant>
      <vt:variant>
        <vt:i4>0</vt:i4>
      </vt:variant>
      <vt:variant>
        <vt:i4>5</vt:i4>
      </vt:variant>
      <vt:variant>
        <vt:lpwstr>http://www.regiopartner.cz/cz/zpracovani-analyz-a-podkladovych-materialu-pro-pripravu-strategie-regionalniho-rozvoje-cr-pro-obdobi-2014%E2%80%932020-1404041701.html</vt:lpwstr>
      </vt:variant>
      <vt:variant>
        <vt:lpwstr/>
      </vt:variant>
      <vt:variant>
        <vt:i4>4784139</vt:i4>
      </vt:variant>
      <vt:variant>
        <vt:i4>108</vt:i4>
      </vt:variant>
      <vt:variant>
        <vt:i4>0</vt:i4>
      </vt:variant>
      <vt:variant>
        <vt:i4>5</vt:i4>
      </vt:variant>
      <vt:variant>
        <vt:lpwstr>http://www.regiopartner.cz/cz/zhodnoceni-prinosu-projektu-rop-sz-1404041914.html</vt:lpwstr>
      </vt:variant>
      <vt:variant>
        <vt:lpwstr/>
      </vt:variant>
      <vt:variant>
        <vt:i4>1048690</vt:i4>
      </vt:variant>
      <vt:variant>
        <vt:i4>105</vt:i4>
      </vt:variant>
      <vt:variant>
        <vt:i4>0</vt:i4>
      </vt:variant>
      <vt:variant>
        <vt:i4>5</vt:i4>
      </vt:variant>
      <vt:variant>
        <vt:lpwstr>mailto:michal.ulrich@regiopartner.cz</vt:lpwstr>
      </vt:variant>
      <vt:variant>
        <vt:lpwstr/>
      </vt:variant>
      <vt:variant>
        <vt:i4>8257644</vt:i4>
      </vt:variant>
      <vt:variant>
        <vt:i4>102</vt:i4>
      </vt:variant>
      <vt:variant>
        <vt:i4>0</vt:i4>
      </vt:variant>
      <vt:variant>
        <vt:i4>5</vt:i4>
      </vt:variant>
      <vt:variant>
        <vt:lpwstr>http://www.adviser-euro.cz/</vt:lpwstr>
      </vt:variant>
      <vt:variant>
        <vt:lpwstr/>
      </vt:variant>
      <vt:variant>
        <vt:i4>7667745</vt:i4>
      </vt:variant>
      <vt:variant>
        <vt:i4>99</vt:i4>
      </vt:variant>
      <vt:variant>
        <vt:i4>0</vt:i4>
      </vt:variant>
      <vt:variant>
        <vt:i4>5</vt:i4>
      </vt:variant>
      <vt:variant>
        <vt:lpwstr>http://www.regiopartner.cz/</vt:lpwstr>
      </vt:variant>
      <vt:variant>
        <vt:lpwstr/>
      </vt:variant>
      <vt:variant>
        <vt:i4>917612</vt:i4>
      </vt:variant>
      <vt:variant>
        <vt:i4>96</vt:i4>
      </vt:variant>
      <vt:variant>
        <vt:i4>0</vt:i4>
      </vt:variant>
      <vt:variant>
        <vt:i4>5</vt:i4>
      </vt:variant>
      <vt:variant>
        <vt:lpwstr>mailto:stepan.kodera@regiopartner.cz</vt:lpwstr>
      </vt:variant>
      <vt:variant>
        <vt:lpwstr/>
      </vt:variant>
      <vt:variant>
        <vt:i4>2097230</vt:i4>
      </vt:variant>
      <vt:variant>
        <vt:i4>93</vt:i4>
      </vt:variant>
      <vt:variant>
        <vt:i4>0</vt:i4>
      </vt:variant>
      <vt:variant>
        <vt:i4>5</vt:i4>
      </vt:variant>
      <vt:variant>
        <vt:lpwstr>mailto:lucie.bucinova@regiopartner.cz</vt:lpwstr>
      </vt:variant>
      <vt:variant>
        <vt:lpwstr/>
      </vt:variant>
      <vt:variant>
        <vt:i4>10944566</vt:i4>
      </vt:variant>
      <vt:variant>
        <vt:i4>87</vt:i4>
      </vt:variant>
      <vt:variant>
        <vt:i4>0</vt:i4>
      </vt:variant>
      <vt:variant>
        <vt:i4>5</vt:i4>
      </vt:variant>
      <vt:variant>
        <vt:lpwstr>C:\Documents and Settings\Uzivatel\Data aplikací\Microsoft\Word\www.regiopartner.cz</vt:lpwstr>
      </vt:variant>
      <vt:variant>
        <vt:lpwstr/>
      </vt:variant>
      <vt:variant>
        <vt:i4>8650866</vt:i4>
      </vt:variant>
      <vt:variant>
        <vt:i4>84</vt:i4>
      </vt:variant>
      <vt:variant>
        <vt:i4>0</vt:i4>
      </vt:variant>
      <vt:variant>
        <vt:i4>5</vt:i4>
      </vt:variant>
      <vt:variant>
        <vt:lpwstr>C:\Documents and Settings\Uzivatel\Data aplikací\Microsoft\Word\barbora.kurkova@nuts2severozapad.cz</vt:lpwstr>
      </vt:variant>
      <vt:variant>
        <vt:lpwstr/>
      </vt:variant>
      <vt:variant>
        <vt:i4>2097230</vt:i4>
      </vt:variant>
      <vt:variant>
        <vt:i4>78</vt:i4>
      </vt:variant>
      <vt:variant>
        <vt:i4>0</vt:i4>
      </vt:variant>
      <vt:variant>
        <vt:i4>5</vt:i4>
      </vt:variant>
      <vt:variant>
        <vt:lpwstr>mailto:lucie.bucinova@regiopartner.cz</vt:lpwstr>
      </vt:variant>
      <vt:variant>
        <vt:lpwstr/>
      </vt:variant>
      <vt:variant>
        <vt:i4>5636135</vt:i4>
      </vt:variant>
      <vt:variant>
        <vt:i4>75</vt:i4>
      </vt:variant>
      <vt:variant>
        <vt:i4>0</vt:i4>
      </vt:variant>
      <vt:variant>
        <vt:i4>5</vt:i4>
      </vt:variant>
      <vt:variant>
        <vt:lpwstr>mailto:jana.prikopova@praha.eu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LYNX</dc:creator>
  <cp:lastModifiedBy>blehova</cp:lastModifiedBy>
  <cp:revision>5</cp:revision>
  <dcterms:created xsi:type="dcterms:W3CDTF">2018-08-14T05:23:00Z</dcterms:created>
  <dcterms:modified xsi:type="dcterms:W3CDTF">2018-09-17T09:51:00Z</dcterms:modified>
</cp:coreProperties>
</file>